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008B" w14:textId="77777777" w:rsidR="00CD586A" w:rsidRPr="008D6354" w:rsidRDefault="00CD586A" w:rsidP="00CD586A">
      <w:pPr>
        <w:spacing w:after="0"/>
        <w:ind w:left="-1440" w:right="6140"/>
        <w:rPr>
          <w:rFonts w:ascii="Times New Roman" w:hAnsi="Times New Roman" w:cs="Times New Roman"/>
        </w:rPr>
      </w:pPr>
    </w:p>
    <w:p w14:paraId="327544ED" w14:textId="77777777" w:rsidR="00480D2E" w:rsidRDefault="00CD586A" w:rsidP="00CD586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ab/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ab/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ab/>
      </w:r>
      <w:r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 xml:space="preserve">Załącznik do zarządzenia nr 177/2022 </w:t>
      </w:r>
    </w:p>
    <w:p w14:paraId="06720B11" w14:textId="3EE00038" w:rsidR="00CD586A" w:rsidRDefault="00CD586A" w:rsidP="00CD586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</w:pPr>
      <w:r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>Burmistrza Miasta Kamienna Góra</w:t>
      </w:r>
      <w:r w:rsidR="00480D2E"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 xml:space="preserve"> z dnia 09 maja 2022 r.</w:t>
      </w:r>
    </w:p>
    <w:p w14:paraId="0F8E6472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</w:pPr>
    </w:p>
    <w:p w14:paraId="601F32E3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/>
        </w:rPr>
      </w:pPr>
    </w:p>
    <w:p w14:paraId="27F012A5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u w:val="single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u w:val="single"/>
          <w:lang/>
        </w:rPr>
        <w:t>OGŁOSZENIE</w:t>
      </w:r>
    </w:p>
    <w:p w14:paraId="40081829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u w:val="single"/>
          <w:lang/>
        </w:rPr>
      </w:pPr>
    </w:p>
    <w:p w14:paraId="1193BD08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u w:val="single"/>
          <w:lang/>
        </w:rPr>
      </w:pPr>
    </w:p>
    <w:p w14:paraId="6BC7911A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Burmistrz Miasta Kamienna Góra ogłasza otwarty konkurs ofert na realizację zadania publicznego z zakresu wychowania przedszkolnego w Kamiennej Górze.</w:t>
      </w:r>
    </w:p>
    <w:p w14:paraId="6216914C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16D0FE62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b/>
          <w:bCs/>
          <w:color w:val="auto"/>
          <w:kern w:val="3"/>
          <w:sz w:val="20"/>
          <w:szCs w:val="20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§1. Cel konkursu</w:t>
      </w:r>
    </w:p>
    <w:p w14:paraId="6ABBAD0C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</w:pPr>
    </w:p>
    <w:p w14:paraId="3CEA8F15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Celem zadania jest zapewnienie możliwości korzystania z wychowania przedszkolnego (na warunkach takich jak w przedszkolach publicznych prowadzonych przez Gminę Miejską Kamienna Góra) dzieciom w wieku przedszkolnym – mieszkańcom Miasta Kamienna Góra, którym pomimo wzięcia udziału w procesie rekrutacji do przedszkoli publicznych na rok szkolny 2022/2023 nie zostały zapewnione miejsca w samorządowych przedszkolach.</w:t>
      </w:r>
    </w:p>
    <w:p w14:paraId="0D7FFDC9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0237C3BE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b/>
          <w:bCs/>
          <w:color w:val="auto"/>
          <w:kern w:val="3"/>
          <w:sz w:val="20"/>
          <w:szCs w:val="20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§2. Wysokość środków przeznaczonych na realizację zadania, w tym wysokość planowanej dotacji w przeliczeniu na jedno dziecko objęte wychowaniem przedszkolnym</w:t>
      </w:r>
    </w:p>
    <w:p w14:paraId="305CFA96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7A060690" w14:textId="514EA68B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 w:val="pl-PL"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 xml:space="preserve">W roku szkolnym 2022/2023 – </w:t>
      </w: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 xml:space="preserve">ok. </w:t>
      </w:r>
      <w:r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 w:val="pl-PL"/>
        </w:rPr>
        <w:t>16.700 zł/ rok; 1392 zł/m-c</w:t>
      </w:r>
    </w:p>
    <w:p w14:paraId="5436AA63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50337D58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Wysokość dotacji na każde dziecko, uczęszczające do przedszkola niepublicznego / szkoły podstawowej, w której zorganizowano oddział przedszkolny / innej formy wychowania przedszkolnego wyłonionego w otwartym konkursie ofert, będzie udzielana w wysokości określonej odpowiednio w art.17 ust. 1, art.19 ust.1, 21 ust. 1 ustawy o finansowaniu zadań oświatowych z dnia 27 października 2017 r. ( tj. Dz.U. z 2021 r. poz. 1930 ze zm.), z tym że na ucznia niepełnosprawnego w wysokości nie niższej niż kwota przewidziana na takiego ucznia w części oświatowej subwencji ogólnej dla Gminy Miejskiej Kamienna Góra. W przypadku, w którym zgodnie z art. 127 ust. 5 ustawy Prawo oświatowe z dnia 14 grudnia 2016 r. ( tj. Dz.U. z 2021 r., poz 1082 ze zm.) przedszkole/ szkoła podstawowa, w której zorganizowano oddział przedszkolny / inna forma wychowania przedszkolnego będzie prowadzić wczesne wspomaganie rozwoju dziecka, otrzyma na każde dziecko objęte wczesnym wspomaganiem rozwoju, niezależnie od dotacji, o których mowa powyżej, dotację z budżetu Gminy w wysokości równej kwocie przewidzianej na takie dziecko objęte wczesnym wspomaganiem rozwoju w części oświatowej subwencji ogólnej dla gminy (art. 15 ustawy o finansowaniu zadań oświatowych).</w:t>
      </w:r>
    </w:p>
    <w:p w14:paraId="625C6997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0E4BB0C8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b/>
          <w:bCs/>
          <w:color w:val="auto"/>
          <w:kern w:val="3"/>
          <w:sz w:val="20"/>
          <w:szCs w:val="20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§3. Zasady przyznawania dotacji</w:t>
      </w:r>
    </w:p>
    <w:p w14:paraId="08C9A3DA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3A9FA8B4" w14:textId="7EA038E1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 w:val="pl-PL"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O przyznanie dotacji ubiegać się mogą osoby fizyczne i osoby prawne prowadzące przedszkola niepubliczne / szkoły podstawowe, w których zorganizowano oddział przedszkolny / inne formy wychowania przedszkolnego na terenie Miasta Kamienna Góra</w:t>
      </w:r>
      <w:r w:rsidR="00902F87"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>.</w:t>
      </w:r>
    </w:p>
    <w:p w14:paraId="1A17D84F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 xml:space="preserve">Dotacja jest przyznawana na realizację zadania na zasadach określonych powyżej i może być </w:t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lastRenderedPageBreak/>
        <w:t>wydatkowana zgodnie z art. 35 ustawy o finansowaniu zadań oświatowych.</w:t>
      </w:r>
    </w:p>
    <w:p w14:paraId="1FD21D27" w14:textId="51581643" w:rsidR="00CD586A" w:rsidRPr="00CD586A" w:rsidRDefault="00CD586A" w:rsidP="00CD586A">
      <w:pPr>
        <w:widowControl w:val="0"/>
        <w:numPr>
          <w:ilvl w:val="0"/>
          <w:numId w:val="6"/>
        </w:numPr>
        <w:tabs>
          <w:tab w:val="left" w:pos="405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Warunkiem ubiegania się o przyznanie dotacji jest złożenie oferty według wzoru stanowiącego załącznik nr 1 do ogłoszenia oraz załączników określonych §</w:t>
      </w:r>
      <w:r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 xml:space="preserve"> </w:t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6 ogłoszenia.</w:t>
      </w:r>
    </w:p>
    <w:p w14:paraId="5AB51B76" w14:textId="77777777" w:rsidR="00CD586A" w:rsidRPr="00CD586A" w:rsidRDefault="00CD586A" w:rsidP="00CD586A">
      <w:pPr>
        <w:widowControl w:val="0"/>
        <w:numPr>
          <w:ilvl w:val="0"/>
          <w:numId w:val="6"/>
        </w:numPr>
        <w:tabs>
          <w:tab w:val="left" w:pos="405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Dotacja będzie udzielana i rozliczana w trybie określonym w uchwale nr XLVI/304/18 Rady Miasta Kamienna Góra z dnia 25 kietnia 2018 r. W sprawie ustalenia trybu udzielania i rozliczania dotacji z budżetu Gminy Miejskiej Kamienna Góradla niepublicznych szkół o uprawnieniach szkół publicznych, w których jest realizowany obowiązek szkolny, dla niepublicznych przedszkoli i niepublicznych innych form wychowania przedszkolnego działających na terenie Gminy Miejskiej Kamienna Góra, prowadzonych przez osoby prawne lub fizyczne oraz trybu przeprowadzania kontroli prawidłowości ich pobrania i wykorzystania.</w:t>
      </w:r>
    </w:p>
    <w:p w14:paraId="70EB63D8" w14:textId="77777777" w:rsidR="00CD586A" w:rsidRPr="00CD586A" w:rsidRDefault="00CD586A" w:rsidP="00CD586A">
      <w:pPr>
        <w:widowControl w:val="0"/>
        <w:numPr>
          <w:ilvl w:val="0"/>
          <w:numId w:val="6"/>
        </w:numPr>
        <w:tabs>
          <w:tab w:val="left" w:pos="405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Dotacja udzielana będzie w ratach na podstawie informacji miesięcznej o faktycznej licznie uczniów.</w:t>
      </w:r>
    </w:p>
    <w:p w14:paraId="1162377A" w14:textId="77777777" w:rsidR="00CD586A" w:rsidRPr="00CD586A" w:rsidRDefault="00CD586A" w:rsidP="00CD586A">
      <w:pPr>
        <w:widowControl w:val="0"/>
        <w:tabs>
          <w:tab w:val="left" w:pos="405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7FF70D45" w14:textId="77777777" w:rsidR="00CD586A" w:rsidRPr="00CD586A" w:rsidRDefault="00CD586A" w:rsidP="00CD586A">
      <w:pPr>
        <w:widowControl w:val="0"/>
        <w:tabs>
          <w:tab w:val="left" w:pos="405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§4. Zakres, termin i warunki realizacji zadania</w:t>
      </w:r>
    </w:p>
    <w:p w14:paraId="43C51AFC" w14:textId="77777777" w:rsidR="00CD586A" w:rsidRPr="00CD586A" w:rsidRDefault="00CD586A" w:rsidP="00CD586A">
      <w:pPr>
        <w:widowControl w:val="0"/>
        <w:tabs>
          <w:tab w:val="left" w:pos="405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</w:pPr>
    </w:p>
    <w:p w14:paraId="7BA90664" w14:textId="58A50604" w:rsidR="00CD586A" w:rsidRPr="00CD586A" w:rsidRDefault="00CD586A" w:rsidP="00CD586A">
      <w:pPr>
        <w:widowControl w:val="0"/>
        <w:tabs>
          <w:tab w:val="left" w:pos="405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 xml:space="preserve">Termin realizacji zadania: od </w:t>
      </w:r>
      <w:r w:rsidR="00902949"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 xml:space="preserve"> 01 </w:t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września 2022 r.  do 31 sierpnia 2023 r.</w:t>
      </w:r>
    </w:p>
    <w:p w14:paraId="1E672A28" w14:textId="77777777" w:rsidR="00CD586A" w:rsidRPr="00CD586A" w:rsidRDefault="00CD586A" w:rsidP="00CD586A">
      <w:pPr>
        <w:widowControl w:val="0"/>
        <w:tabs>
          <w:tab w:val="left" w:pos="405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Miejsce realizacji zadania: Miasto Kamienna Góra.</w:t>
      </w:r>
    </w:p>
    <w:p w14:paraId="76C915DF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Z podmiotem, który będzie realizował zadanie, zostanie podpisane porozumienie w sprawie powierzenia realizacji zadania publicznego z zakresu wychowania przedszkolnego.</w:t>
      </w:r>
    </w:p>
    <w:p w14:paraId="1B5907F2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4192932D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§5. Termin i miejsce składania ofert</w:t>
      </w:r>
    </w:p>
    <w:p w14:paraId="2F24EB08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365968E6" w14:textId="54E119E6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 w:val="pl-PL"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 xml:space="preserve">Termin składania ofert upływa </w:t>
      </w: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 xml:space="preserve">dnia </w:t>
      </w:r>
      <w:r w:rsidR="00902949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 w:val="pl-PL"/>
        </w:rPr>
        <w:t>03</w:t>
      </w: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 w:val="pl-PL"/>
        </w:rPr>
        <w:t xml:space="preserve"> </w:t>
      </w:r>
      <w:r w:rsidR="00902949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 w:val="pl-PL"/>
        </w:rPr>
        <w:t>czerwca</w:t>
      </w: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 w:val="pl-PL"/>
        </w:rPr>
        <w:t xml:space="preserve"> 2022 r.</w:t>
      </w:r>
    </w:p>
    <w:p w14:paraId="1F1A14FA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Ofertę wraz z załącznikami należy składać w Biurze Obsługi Klienta Urzędu Miasta Kamienna Góra, 58-400 Kamienna Góra pl. Grunwaldzki 1 lub przesyłką listową na powyższy adres, przy czym o zachowaniu terminu decyduje data wpływu przesyłki do Urzędu Miasta Kamienna Góra.</w:t>
      </w:r>
    </w:p>
    <w:p w14:paraId="46A370FE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Oferty wraz  z załącznikami należy składać w opisanych kopertach: nazwa i adres oferenta, nazwa zadania publicznego: "Oferta na realizację zadania publicznego z zakresu wychowania przedszkolnego".</w:t>
      </w:r>
    </w:p>
    <w:p w14:paraId="0732A6A1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Oferty, które wpłyną po ww. terminie, nie będą podlegać ocenie.</w:t>
      </w:r>
    </w:p>
    <w:p w14:paraId="3D2F269C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54E90A62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§6. Wymagane dokumenty</w:t>
      </w:r>
    </w:p>
    <w:p w14:paraId="0B403808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</w:pPr>
    </w:p>
    <w:p w14:paraId="39B249FF" w14:textId="77777777" w:rsidR="00CD586A" w:rsidRPr="00CD586A" w:rsidRDefault="00CD586A" w:rsidP="00CD586A">
      <w:pPr>
        <w:widowControl w:val="0"/>
        <w:tabs>
          <w:tab w:val="left" w:pos="-345"/>
        </w:tabs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1. Oferenci zobowiązani są do złożenia następujących dokumentów:</w:t>
      </w:r>
    </w:p>
    <w:p w14:paraId="07CD933B" w14:textId="77777777" w:rsidR="00CD586A" w:rsidRPr="00CD586A" w:rsidRDefault="00CD586A" w:rsidP="00CD586A">
      <w:pPr>
        <w:widowControl w:val="0"/>
        <w:numPr>
          <w:ilvl w:val="0"/>
          <w:numId w:val="7"/>
        </w:numPr>
        <w:tabs>
          <w:tab w:val="left" w:pos="390"/>
        </w:tabs>
        <w:suppressAutoHyphens/>
        <w:autoSpaceDN w:val="0"/>
        <w:spacing w:after="0" w:line="240" w:lineRule="auto"/>
        <w:ind w:left="360" w:hanging="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oferta realizacji zadania publicznego z zakresu wychowania przedszkolnego, podpisana przez osoby upoważnione do składania oświadczeń woli w imieniu organu prowadzącego przedszkole niepubliczne, niepubliczną szkołę podstawową, w której zorganizowano oddział przedszkolny, niepubliczny punkt przedszkolny, a w przypadku prowadzenia podmiotu przez kilka osób fizycznych – podpisana przez wszystkie te osoby. Formularz oferty stanowi załącznik Nr 1 do ogłoszenia,</w:t>
      </w:r>
    </w:p>
    <w:p w14:paraId="7495FEDE" w14:textId="77777777" w:rsidR="00CD586A" w:rsidRPr="00CD586A" w:rsidRDefault="00CD586A" w:rsidP="00CD586A">
      <w:pPr>
        <w:widowControl w:val="0"/>
        <w:numPr>
          <w:ilvl w:val="0"/>
          <w:numId w:val="7"/>
        </w:numPr>
        <w:tabs>
          <w:tab w:val="left" w:pos="390"/>
        </w:tabs>
        <w:suppressAutoHyphens/>
        <w:autoSpaceDN w:val="0"/>
        <w:spacing w:after="0" w:line="240" w:lineRule="auto"/>
        <w:ind w:left="360" w:hanging="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kopia aktualnego odpisu z Krajowego Rejestru Sądowego w przypadku, gdy organ prowadzący jest osobą prawną lub wydruk z C</w:t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>E</w:t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IDG,</w:t>
      </w:r>
    </w:p>
    <w:p w14:paraId="395F92F2" w14:textId="77777777" w:rsidR="00CD586A" w:rsidRPr="00CD586A" w:rsidRDefault="00CD586A" w:rsidP="00CD586A">
      <w:pPr>
        <w:widowControl w:val="0"/>
        <w:numPr>
          <w:ilvl w:val="0"/>
          <w:numId w:val="7"/>
        </w:numPr>
        <w:tabs>
          <w:tab w:val="left" w:pos="390"/>
        </w:tabs>
        <w:suppressAutoHyphens/>
        <w:autoSpaceDN w:val="0"/>
        <w:spacing w:after="0" w:line="240" w:lineRule="auto"/>
        <w:ind w:left="360" w:hanging="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dokument potwierdzający upoważnienie do działania w imieniu oferenta w przypadku podpisania oferty przez osoby upoważnione przez organ prowadzący,</w:t>
      </w:r>
    </w:p>
    <w:p w14:paraId="229510FA" w14:textId="77777777" w:rsidR="00CD586A" w:rsidRPr="00CD586A" w:rsidRDefault="00CD586A" w:rsidP="00CD586A">
      <w:pPr>
        <w:widowControl w:val="0"/>
        <w:numPr>
          <w:ilvl w:val="0"/>
          <w:numId w:val="7"/>
        </w:numPr>
        <w:tabs>
          <w:tab w:val="left" w:pos="390"/>
        </w:tabs>
        <w:suppressAutoHyphens/>
        <w:autoSpaceDN w:val="0"/>
        <w:spacing w:after="0" w:line="240" w:lineRule="auto"/>
        <w:ind w:left="360" w:hanging="60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lastRenderedPageBreak/>
        <w:t>zobowiązanie, o którym mowa w art. 22 ust. 2 ustawy o finansowaniu zadań oświatowych, według wzoru stanowiącego załącznik Nr 2 do ogłoszenia,</w:t>
      </w:r>
    </w:p>
    <w:p w14:paraId="4BB9101A" w14:textId="77777777" w:rsidR="00CD586A" w:rsidRPr="00CD586A" w:rsidRDefault="00CD586A" w:rsidP="00CD586A">
      <w:pPr>
        <w:widowControl w:val="0"/>
        <w:numPr>
          <w:ilvl w:val="0"/>
          <w:numId w:val="7"/>
        </w:numPr>
        <w:tabs>
          <w:tab w:val="left" w:pos="390"/>
        </w:tabs>
        <w:suppressAutoHyphens/>
        <w:autoSpaceDN w:val="0"/>
        <w:spacing w:after="0" w:line="240" w:lineRule="auto"/>
        <w:ind w:left="360" w:hanging="6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oświadczenie o posiadaniu prawa do zajmowania lokalu (lokali), w którym (których) realizowane ma być zadanie, z podaniem tytułu prawnego do dysponowania lokalem (akt własności, umowa najmu, umowa użyczenia, porozumienie w sprawie udostępnienia lokalu).</w:t>
      </w:r>
    </w:p>
    <w:p w14:paraId="15AB81A6" w14:textId="77777777" w:rsidR="00CD586A" w:rsidRPr="00CD586A" w:rsidRDefault="00CD586A" w:rsidP="00CD586A">
      <w:pPr>
        <w:widowControl w:val="0"/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2. Poza załącznikami wymienionymi w ust. 1 oferent może dołączyć zdjęcia pomieszczeń w których będzie realizowane zadanie, w tym kuchni, jadalni, placu zabaw.</w:t>
      </w:r>
    </w:p>
    <w:p w14:paraId="6F998CBA" w14:textId="77777777" w:rsidR="00CD586A" w:rsidRPr="00CD586A" w:rsidRDefault="00CD586A" w:rsidP="00CD586A">
      <w:pPr>
        <w:widowControl w:val="0"/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70B8AA16" w14:textId="77777777" w:rsidR="00CD586A" w:rsidRPr="00CD586A" w:rsidRDefault="00CD586A" w:rsidP="00CD586A">
      <w:pPr>
        <w:widowControl w:val="0"/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§7 Tryb i kryteria stosowane przy wyborze ofert oraz termin dokonania wyboru ofert</w:t>
      </w:r>
    </w:p>
    <w:p w14:paraId="77620B32" w14:textId="77777777" w:rsidR="00CD586A" w:rsidRPr="00CD586A" w:rsidRDefault="00CD586A" w:rsidP="00CD586A">
      <w:pPr>
        <w:widowControl w:val="0"/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07546B16" w14:textId="77777777" w:rsidR="00CD586A" w:rsidRPr="00CD586A" w:rsidRDefault="00CD586A" w:rsidP="00CD586A">
      <w:pPr>
        <w:widowControl w:val="0"/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1. Oferty oceniane będą w trybie i według kryteriów zawartych w uchwale nr XXVII/174/20 Rady Miasta Kamienna Góra z dnia 11 września 2020 r. w sprawie określenia Regulaminu otwartego konkursu ofert na realizację zadania publicznego z zakresu wychowania przedszkolnego tj.</w:t>
      </w:r>
    </w:p>
    <w:p w14:paraId="4C9CF073" w14:textId="77777777" w:rsidR="00CD586A" w:rsidRPr="00CD586A" w:rsidRDefault="00CD586A" w:rsidP="00CD586A">
      <w:pPr>
        <w:widowControl w:val="0"/>
        <w:numPr>
          <w:ilvl w:val="0"/>
          <w:numId w:val="8"/>
        </w:numPr>
        <w:tabs>
          <w:tab w:val="left" w:pos="30"/>
          <w:tab w:val="left" w:pos="390"/>
        </w:tabs>
        <w:suppressAutoHyphens/>
        <w:autoSpaceDN w:val="0"/>
        <w:spacing w:after="0" w:line="240" w:lineRule="auto"/>
        <w:ind w:left="0" w:firstLine="30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godziny otwarcia przedszkola lub innej formy wychowania przedszkolnego;</w:t>
      </w:r>
    </w:p>
    <w:p w14:paraId="3BC1543A" w14:textId="77777777" w:rsidR="00CD586A" w:rsidRPr="00CD586A" w:rsidRDefault="00CD586A" w:rsidP="00CD586A">
      <w:pPr>
        <w:widowControl w:val="0"/>
        <w:numPr>
          <w:ilvl w:val="0"/>
          <w:numId w:val="8"/>
        </w:numPr>
        <w:tabs>
          <w:tab w:val="left" w:pos="30"/>
          <w:tab w:val="left" w:pos="390"/>
        </w:tabs>
        <w:suppressAutoHyphens/>
        <w:autoSpaceDN w:val="0"/>
        <w:spacing w:after="0" w:line="240" w:lineRule="auto"/>
        <w:ind w:left="0" w:firstLine="300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organizację wyżywienia w przedszkolu lub innej formie wychowania przedszkolnego;</w:t>
      </w:r>
    </w:p>
    <w:p w14:paraId="02C916DB" w14:textId="77777777" w:rsidR="00CD586A" w:rsidRPr="00CD586A" w:rsidRDefault="00CD586A" w:rsidP="00CD586A">
      <w:pPr>
        <w:widowControl w:val="0"/>
        <w:numPr>
          <w:ilvl w:val="0"/>
          <w:numId w:val="8"/>
        </w:numPr>
        <w:tabs>
          <w:tab w:val="left" w:pos="705"/>
        </w:tabs>
        <w:suppressAutoHyphens/>
        <w:autoSpaceDN w:val="0"/>
        <w:spacing w:after="0" w:line="240" w:lineRule="auto"/>
        <w:ind w:left="315" w:firstLine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warunki lokalowe i wyposażenie przedszkola lub innej formy wychowania przedszkolnego z uwzględnieniem zewnętrznych elementów infrastruktury, w szczególności placu zabaw i ogrodu;</w:t>
      </w:r>
    </w:p>
    <w:p w14:paraId="777E849B" w14:textId="77777777" w:rsidR="00CD586A" w:rsidRPr="00CD586A" w:rsidRDefault="00CD586A" w:rsidP="00CD586A">
      <w:pPr>
        <w:widowControl w:val="0"/>
        <w:numPr>
          <w:ilvl w:val="0"/>
          <w:numId w:val="8"/>
        </w:numPr>
        <w:tabs>
          <w:tab w:val="left" w:pos="705"/>
        </w:tabs>
        <w:suppressAutoHyphens/>
        <w:autoSpaceDN w:val="0"/>
        <w:spacing w:after="0" w:line="240" w:lineRule="auto"/>
        <w:ind w:left="315" w:firstLine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kwalifikacje kadry pedagogicznej;</w:t>
      </w:r>
    </w:p>
    <w:p w14:paraId="4BB21F3A" w14:textId="77777777" w:rsidR="00CD586A" w:rsidRPr="00CD586A" w:rsidRDefault="00CD586A" w:rsidP="00CD586A">
      <w:pPr>
        <w:widowControl w:val="0"/>
        <w:numPr>
          <w:ilvl w:val="0"/>
          <w:numId w:val="8"/>
        </w:numPr>
        <w:tabs>
          <w:tab w:val="left" w:pos="705"/>
        </w:tabs>
        <w:suppressAutoHyphens/>
        <w:autoSpaceDN w:val="0"/>
        <w:spacing w:after="0" w:line="240" w:lineRule="auto"/>
        <w:ind w:left="315" w:firstLine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zapewnienie przez przedszkole lub inną formę wychowania przedszkolnego oferty edukacyjnej dla dzieci z dysfunkcjami rozwojowymi;</w:t>
      </w:r>
    </w:p>
    <w:p w14:paraId="0B64DAA7" w14:textId="77777777" w:rsidR="00CD586A" w:rsidRPr="00CD586A" w:rsidRDefault="00CD586A" w:rsidP="00CD586A">
      <w:pPr>
        <w:widowControl w:val="0"/>
        <w:numPr>
          <w:ilvl w:val="0"/>
          <w:numId w:val="8"/>
        </w:numPr>
        <w:tabs>
          <w:tab w:val="left" w:pos="705"/>
        </w:tabs>
        <w:suppressAutoHyphens/>
        <w:autoSpaceDN w:val="0"/>
        <w:spacing w:after="0" w:line="240" w:lineRule="auto"/>
        <w:ind w:left="315" w:firstLine="15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zapewnienie przez przedszkole lub inną formę wychowania przedszkolnego dodatkowych zajęć realizowanych poza podstawą programową wychowania przedszkolnego.</w:t>
      </w:r>
    </w:p>
    <w:p w14:paraId="3724DF55" w14:textId="77777777" w:rsidR="00CD586A" w:rsidRPr="00CD586A" w:rsidRDefault="00CD586A" w:rsidP="00CD586A">
      <w:pPr>
        <w:widowControl w:val="0"/>
        <w:tabs>
          <w:tab w:val="left" w:pos="30"/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 xml:space="preserve">2. Rozstrzygnięcie otwartego konkursu ofert nastąpi do dnia </w:t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 w:val="pl-PL"/>
        </w:rPr>
        <w:t>10 czerwca 2022 r.</w:t>
      </w:r>
    </w:p>
    <w:p w14:paraId="1C988F3B" w14:textId="77777777" w:rsidR="00CD586A" w:rsidRPr="00CD586A" w:rsidRDefault="00CD586A" w:rsidP="00CD586A">
      <w:pPr>
        <w:widowControl w:val="0"/>
        <w:tabs>
          <w:tab w:val="left" w:pos="30"/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3. Wyniki otwartego konkursu ofert zostaną podane do wiadomości publicznej (w Biuletynie Informacji Publicznej Urzędu Miasta Kamienna Góra, na tablicy ogłoszeń Urzędu Miasta Kamienna Góra, na stronie internetowej: www.kamiennagora.pl)</w:t>
      </w:r>
    </w:p>
    <w:p w14:paraId="23BB8BA0" w14:textId="77777777" w:rsidR="00CD586A" w:rsidRPr="00CD586A" w:rsidRDefault="00CD586A" w:rsidP="00CD586A">
      <w:pPr>
        <w:widowControl w:val="0"/>
        <w:tabs>
          <w:tab w:val="left" w:pos="30"/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4. Burmistrz Miasta Kamienna Góra może odstąpić od rozstrzygnięcia otwartego konkursu ofert. Informację o tym podaje do publicznej wiadomości w sposób określony w ust. 3.</w:t>
      </w:r>
    </w:p>
    <w:p w14:paraId="6CE82DA6" w14:textId="77777777" w:rsidR="00CD586A" w:rsidRPr="00CD586A" w:rsidRDefault="00CD586A" w:rsidP="00CD586A">
      <w:pPr>
        <w:widowControl w:val="0"/>
        <w:tabs>
          <w:tab w:val="left" w:pos="30"/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222C1FCF" w14:textId="77777777" w:rsidR="00CD586A" w:rsidRPr="00CD586A" w:rsidRDefault="00CD586A" w:rsidP="00CD586A">
      <w:pPr>
        <w:widowControl w:val="0"/>
        <w:tabs>
          <w:tab w:val="left" w:pos="30"/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/>
        </w:rPr>
      </w:pP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>§8 Maksymalna liczba wolnych miejsc, które Gmina Miejska Kamienna Góra zamierza pozyskać w wyniku przeprowadzenia otwartego konkursu ofert</w:t>
      </w:r>
    </w:p>
    <w:p w14:paraId="11CD0E43" w14:textId="77777777" w:rsidR="00CD586A" w:rsidRPr="00CD586A" w:rsidRDefault="00CD586A" w:rsidP="00CD586A">
      <w:pPr>
        <w:widowControl w:val="0"/>
        <w:tabs>
          <w:tab w:val="left" w:pos="30"/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/>
        </w:rPr>
      </w:pPr>
    </w:p>
    <w:p w14:paraId="02A8CD73" w14:textId="4A480DEC" w:rsidR="00CD586A" w:rsidRPr="00CD586A" w:rsidRDefault="00CD586A" w:rsidP="00CD586A">
      <w:pPr>
        <w:widowControl w:val="0"/>
        <w:tabs>
          <w:tab w:val="left" w:pos="30"/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0"/>
          <w:lang/>
        </w:rPr>
      </w:pP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 xml:space="preserve">Łącznie w wyniku otwartego konkursu ofert Gmina Miejska Kamienna Góra zamierza pozyskać około </w:t>
      </w:r>
      <w:r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 w:val="pl-PL"/>
        </w:rPr>
        <w:t>50</w:t>
      </w:r>
      <w:r w:rsidRPr="00CD586A">
        <w:rPr>
          <w:rFonts w:ascii="Times New Roman" w:eastAsia="Courier New" w:hAnsi="Times New Roman" w:cs="Courier New"/>
          <w:b/>
          <w:bCs/>
          <w:color w:val="auto"/>
          <w:kern w:val="3"/>
          <w:sz w:val="24"/>
          <w:szCs w:val="24"/>
          <w:lang/>
        </w:rPr>
        <w:t xml:space="preserve"> </w:t>
      </w:r>
      <w:r w:rsidRPr="00CD586A"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  <w:t>wolnych miejsc w przedszkolach niepublicznych.</w:t>
      </w:r>
    </w:p>
    <w:p w14:paraId="20DE7598" w14:textId="77777777" w:rsidR="00CD586A" w:rsidRPr="00CD586A" w:rsidRDefault="00CD586A" w:rsidP="00CD58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color w:val="auto"/>
          <w:kern w:val="3"/>
          <w:sz w:val="24"/>
          <w:szCs w:val="24"/>
          <w:lang/>
        </w:rPr>
      </w:pPr>
    </w:p>
    <w:p w14:paraId="11520045" w14:textId="77777777" w:rsidR="00CD586A" w:rsidRPr="00CD586A" w:rsidRDefault="00CD586A" w:rsidP="00CD586A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u w:val="single"/>
          <w:lang/>
        </w:rPr>
      </w:pPr>
    </w:p>
    <w:p w14:paraId="11E11C74" w14:textId="77777777" w:rsidR="00CD586A" w:rsidRPr="00CD586A" w:rsidRDefault="00CD586A" w:rsidP="00CD586A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u w:val="single"/>
          <w:lang/>
        </w:rPr>
      </w:pPr>
    </w:p>
    <w:p w14:paraId="040D4943" w14:textId="77777777" w:rsidR="00CD586A" w:rsidRPr="00CD586A" w:rsidRDefault="00CD586A" w:rsidP="00CD586A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u w:val="single"/>
          <w:lang/>
        </w:rPr>
      </w:pPr>
    </w:p>
    <w:p w14:paraId="0CC04EE2" w14:textId="77777777" w:rsidR="00CD586A" w:rsidRPr="00CD586A" w:rsidRDefault="00CD586A" w:rsidP="00CD586A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u w:val="single"/>
          <w:lang/>
        </w:rPr>
      </w:pPr>
    </w:p>
    <w:p w14:paraId="489EE8C7" w14:textId="77777777" w:rsidR="00CD586A" w:rsidRPr="00CD586A" w:rsidRDefault="00CD586A" w:rsidP="00CD586A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u w:val="single"/>
          <w:lang/>
        </w:rPr>
      </w:pPr>
    </w:p>
    <w:p w14:paraId="1354E85F" w14:textId="77777777" w:rsidR="00CD586A" w:rsidRPr="00CD586A" w:rsidRDefault="00CD586A" w:rsidP="00CD586A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u w:val="single"/>
          <w:lang/>
        </w:rPr>
      </w:pPr>
    </w:p>
    <w:p w14:paraId="3B634254" w14:textId="77777777" w:rsidR="00CD586A" w:rsidRPr="00CD586A" w:rsidRDefault="00CD586A" w:rsidP="00CD586A">
      <w:pPr>
        <w:widowControl w:val="0"/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u w:val="single"/>
          <w:lang/>
        </w:rPr>
      </w:pPr>
    </w:p>
    <w:p w14:paraId="3291106E" w14:textId="77777777" w:rsidR="00F27E10" w:rsidRDefault="00335EA1"/>
    <w:sectPr w:rsidR="00F27E10">
      <w:headerReference w:type="default" r:id="rId5"/>
      <w:foot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AAA0" w14:textId="77777777" w:rsidR="000D2F47" w:rsidRDefault="00335EA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E7D25" wp14:editId="2783A5D2">
          <wp:simplePos x="0" y="0"/>
          <wp:positionH relativeFrom="column">
            <wp:posOffset>3687445</wp:posOffset>
          </wp:positionH>
          <wp:positionV relativeFrom="paragraph">
            <wp:posOffset>3810</wp:posOffset>
          </wp:positionV>
          <wp:extent cx="2477135" cy="229235"/>
          <wp:effectExtent l="0" t="0" r="0" b="0"/>
          <wp:wrapTight wrapText="bothSides">
            <wp:wrapPolygon edited="0">
              <wp:start x="0" y="0"/>
              <wp:lineTo x="0" y="19745"/>
              <wp:lineTo x="21428" y="19745"/>
              <wp:lineTo x="2142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43E7" w14:textId="77777777" w:rsidR="001430C4" w:rsidRDefault="00335EA1" w:rsidP="001430C4">
    <w:pPr>
      <w:pStyle w:val="Nagwek"/>
      <w:tabs>
        <w:tab w:val="clear" w:pos="4536"/>
        <w:tab w:val="clear" w:pos="9072"/>
        <w:tab w:val="left" w:pos="3990"/>
      </w:tabs>
    </w:pPr>
    <w:r w:rsidRPr="002A79CB">
      <w:rPr>
        <w:noProof/>
      </w:rPr>
      <w:drawing>
        <wp:inline distT="0" distB="0" distL="0" distR="0" wp14:anchorId="1B4C6DCC" wp14:editId="5E1CFD4E">
          <wp:extent cx="5731510" cy="1047115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5A1"/>
    <w:multiLevelType w:val="hybridMultilevel"/>
    <w:tmpl w:val="EA0E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0919"/>
    <w:multiLevelType w:val="hybridMultilevel"/>
    <w:tmpl w:val="EA0E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514"/>
    <w:multiLevelType w:val="multilevel"/>
    <w:tmpl w:val="818EA4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355121D7"/>
    <w:multiLevelType w:val="hybridMultilevel"/>
    <w:tmpl w:val="57BA1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19A"/>
    <w:multiLevelType w:val="hybridMultilevel"/>
    <w:tmpl w:val="54E444CC"/>
    <w:lvl w:ilvl="0" w:tplc="3A5C6D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47FF7"/>
    <w:multiLevelType w:val="hybridMultilevel"/>
    <w:tmpl w:val="D1CC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C3F9D"/>
    <w:multiLevelType w:val="multilevel"/>
    <w:tmpl w:val="3A461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CAD68D7"/>
    <w:multiLevelType w:val="multilevel"/>
    <w:tmpl w:val="9D2E9B9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216268">
    <w:abstractNumId w:val="4"/>
  </w:num>
  <w:num w:numId="2" w16cid:durableId="88546472">
    <w:abstractNumId w:val="1"/>
  </w:num>
  <w:num w:numId="3" w16cid:durableId="80835331">
    <w:abstractNumId w:val="0"/>
  </w:num>
  <w:num w:numId="4" w16cid:durableId="334724911">
    <w:abstractNumId w:val="5"/>
  </w:num>
  <w:num w:numId="5" w16cid:durableId="2022272669">
    <w:abstractNumId w:val="3"/>
  </w:num>
  <w:num w:numId="6" w16cid:durableId="1894926114">
    <w:abstractNumId w:val="6"/>
  </w:num>
  <w:num w:numId="7" w16cid:durableId="517433060">
    <w:abstractNumId w:val="7"/>
  </w:num>
  <w:num w:numId="8" w16cid:durableId="1979995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6A"/>
    <w:rsid w:val="00335EA1"/>
    <w:rsid w:val="00480D2E"/>
    <w:rsid w:val="00832EDA"/>
    <w:rsid w:val="00902949"/>
    <w:rsid w:val="00902F87"/>
    <w:rsid w:val="00CD586A"/>
    <w:rsid w:val="00D171AF"/>
    <w:rsid w:val="00F1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363E"/>
  <w15:chartTrackingRefBased/>
  <w15:docId w15:val="{AF566470-4E6F-42B2-817B-7FDCE933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86A"/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86A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D5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86A"/>
    <w:rPr>
      <w:rFonts w:ascii="Calibri" w:eastAsia="Calibri" w:hAnsi="Calibri" w:cs="Calibri"/>
      <w:color w:val="000000"/>
      <w:lang w:val="en-US"/>
    </w:rPr>
  </w:style>
  <w:style w:type="paragraph" w:styleId="NormalnyWeb">
    <w:name w:val="Normal (Web)"/>
    <w:basedOn w:val="Normalny"/>
    <w:uiPriority w:val="99"/>
    <w:unhideWhenUsed/>
    <w:rsid w:val="00CD586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586A"/>
    <w:pPr>
      <w:ind w:left="720"/>
      <w:contextualSpacing/>
    </w:pPr>
  </w:style>
  <w:style w:type="paragraph" w:customStyle="1" w:styleId="Standard">
    <w:name w:val="Standard"/>
    <w:rsid w:val="00CD58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1</cp:revision>
  <dcterms:created xsi:type="dcterms:W3CDTF">2022-05-09T10:08:00Z</dcterms:created>
  <dcterms:modified xsi:type="dcterms:W3CDTF">2022-05-09T11:14:00Z</dcterms:modified>
</cp:coreProperties>
</file>