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  <w:t>KARTA DO GŁOSOWANIA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  <w:t>na projekty w ramach budżetu obywatelskiego na rok 2027</w:t>
      </w:r>
    </w:p>
    <w:tbl>
      <w:tblPr>
        <w:tblStyle w:val="Tabela-Siatka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9062"/>
      </w:tblGrid>
      <w:tr>
        <w:trPr/>
        <w:tc>
          <w:tcPr>
            <w:tcW w:w="90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2"/>
                <w:szCs w:val="22"/>
                <w:u w:val="single"/>
                <w:shd w:fill="FFFFFF" w:val="clear"/>
                <w:lang w:val="pl-PL" w:eastAsia="pl-PL" w:bidi="ar-SA"/>
              </w:rPr>
              <w:t>Zasady głosowania: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pl-PL" w:bidi="ar-SA"/>
              </w:rPr>
              <w:t>do głosowania uprawnieni są wyłącznie mieszkańcy miasta Kamienna Góra;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pl-PL" w:bidi="ar-SA"/>
              </w:rPr>
              <w:t>kartę do głosowania należy wypełnić drukowanymi literami, długopisem nieścieralnym;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pl-PL" w:bidi="ar-SA"/>
              </w:rPr>
              <w:t xml:space="preserve">każdy głosujący może oddać jeden głos na jeden projekt z poniżej wymienionych poprzez postawienie znaku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2"/>
                <w:szCs w:val="22"/>
                <w:shd w:fill="FFFFFF" w:val="clear"/>
                <w:lang w:val="pl-PL" w:eastAsia="pl-PL" w:bidi="ar-SA"/>
              </w:rPr>
              <w:t>X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pl-PL" w:bidi="ar-SA"/>
              </w:rPr>
              <w:t xml:space="preserve"> przy wybranym projekcie;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pl-PL" w:bidi="ar-SA"/>
              </w:rPr>
              <w:t>wymagane jest podanie imienia, nazwiska i adresu – dane potrzebne do potwierdzenia autentyczności głosu;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pl-PL" w:bidi="ar-SA"/>
              </w:rPr>
              <w:t>aby głos był ważny należy podpisać zawarte na karcie oświadczanie dot. ochrony danych osobowych.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720"/>
              <w:jc w:val="left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cs="Times New Roman" w:ascii="Times New Roman" w:hAnsi="Times New Roman"/>
                <w:b/>
                <w:bCs/>
                <w:u w:val="single"/>
              </w:rPr>
            </w:r>
          </w:p>
        </w:tc>
      </w:tr>
      <w:tr>
        <w:trPr/>
        <w:tc>
          <w:tcPr>
            <w:tcW w:w="90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2"/>
                <w:szCs w:val="22"/>
                <w:u w:val="single"/>
                <w:shd w:fill="FFFFFF" w:val="clear"/>
                <w:lang w:val="pl-PL" w:eastAsia="pl-PL" w:bidi="ar-SA"/>
              </w:rPr>
              <w:t>Głos będzie nieważny: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pl-PL" w:bidi="ar-SA"/>
              </w:rPr>
              <w:t>gdy karta do głosowania będzie wypełniona niewłaściwie lub nie będzie zawierała wymaganych danych;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pl-PL" w:bidi="ar-SA"/>
              </w:rPr>
              <w:t>gdy dane na karcie do głosowania zostaną wpisane niewyraźnie lub zostaną wpisane w niewłaściwej rubryce;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pl-PL" w:bidi="ar-SA"/>
              </w:rPr>
              <w:t>gdy w wyniku weryfikacji karty zostanie stwierdzony brak podpisu lub dane osobowe będą niepoprawne;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pl-PL" w:bidi="ar-SA"/>
              </w:rPr>
              <w:t>gdy głos zostanie oddany na więcej niż jeden projekt.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pl-PL" w:eastAsia="pl-PL" w:bidi="ar-SA"/>
              </w:rPr>
              <w:t>gdy głos zostanie oddany po zakończeniu głosowania.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cs="Times New Roman" w:ascii="Times New Roman" w:hAnsi="Times New Roman"/>
                <w:b/>
                <w:bCs/>
                <w:u w:val="single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  <w:t>PROJEKTY MIEJSKIE</w:t>
      </w:r>
    </w:p>
    <w:tbl>
      <w:tblPr>
        <w:tblStyle w:val="Tabela-Siatka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165"/>
        <w:gridCol w:w="4052"/>
        <w:gridCol w:w="1845"/>
      </w:tblGrid>
      <w:tr>
        <w:trPr/>
        <w:tc>
          <w:tcPr>
            <w:tcW w:w="316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2"/>
                <w:szCs w:val="22"/>
                <w:shd w:fill="FFFFFF" w:val="clear"/>
                <w:lang w:val="pl-PL" w:eastAsia="pl-PL" w:bidi="ar-SA"/>
              </w:rPr>
              <w:t>NAZWA PROJEKTU</w:t>
            </w:r>
          </w:p>
        </w:tc>
        <w:tc>
          <w:tcPr>
            <w:tcW w:w="405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2"/>
                <w:szCs w:val="22"/>
                <w:shd w:fill="FFFFFF" w:val="clear"/>
                <w:lang w:val="pl-PL" w:eastAsia="pl-PL" w:bidi="ar-SA"/>
              </w:rPr>
              <w:t>SKRÓCONY OPIS PROJEKTU</w:t>
            </w:r>
          </w:p>
        </w:tc>
        <w:tc>
          <w:tcPr>
            <w:tcW w:w="1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2"/>
                <w:szCs w:val="22"/>
                <w:shd w:fill="FFFFFF" w:val="clear"/>
                <w:lang w:val="pl-PL" w:eastAsia="pl-PL" w:bidi="ar-SA"/>
              </w:rPr>
              <w:t>WYBÓR</w:t>
            </w:r>
          </w:p>
        </w:tc>
      </w:tr>
      <w:tr>
        <w:trPr/>
        <w:tc>
          <w:tcPr>
            <w:tcW w:w="316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2"/>
                <w:szCs w:val="22"/>
                <w:shd w:fill="FFFFFF" w:val="clear"/>
                <w:lang w:val="pl-PL" w:eastAsia="pl-PL" w:bidi="ar-SA"/>
              </w:rPr>
              <w:t>Nazwa projektu nr 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  <w:p>
            <w:pPr>
              <w:pStyle w:val="Default"/>
              <w:tabs>
                <w:tab w:val="clear" w:pos="708"/>
              </w:tabs>
              <w:bidi w:val="0"/>
              <w:spacing w:lineRule="auto" w:line="240"/>
              <w:jc w:val="left"/>
              <w:rPr>
                <w:rFonts w:ascii="Times New Roman" w:hAnsi="Times New Roman"/>
                <w:b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Calibri" w:ascii="Times New Roman" w:hAnsi="Times New Roman" w:cstheme="minorHAnsi"/>
                <w:b/>
                <w:bCs/>
                <w:i w:val="false"/>
                <w:iCs w:val="false"/>
                <w:kern w:val="0"/>
                <w:sz w:val="20"/>
                <w:szCs w:val="20"/>
                <w:lang w:val="pl-PL" w:eastAsia="en-US" w:bidi="ar-SA"/>
              </w:rPr>
              <w:t>PLAC DO KALISTENIKI I STREET WORKOUT</w:t>
            </w:r>
          </w:p>
        </w:tc>
        <w:tc>
          <w:tcPr>
            <w:tcW w:w="405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Calibri" w:cstheme="minorHAnsi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Calibri" w:ascii="Times New Roman" w:hAnsi="Times New Roman" w:cstheme="minorHAnsi"/>
                <w:kern w:val="0"/>
                <w:sz w:val="24"/>
                <w:szCs w:val="24"/>
                <w:lang w:val="pl-PL" w:eastAsia="en-US" w:bidi="ar-SA"/>
              </w:rPr>
              <w:t>W Kamiennej Górze brakuje ogólnodostępnego miejsca do treningu kalisteniki i Street workout. Coraz więcej osób-dzieci, młodzież i dorośli wybierają aktywność fizyczną na świeżym powietrzu. Plac zlokalizowany obok placu zabaw i boiska stworzy spójną strefę dla wszystkich mieszkańców w pełni bezpłatną i dostępną przez cały rok.</w:t>
            </w:r>
          </w:p>
        </w:tc>
        <w:tc>
          <w:tcPr>
            <w:tcW w:w="1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316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2"/>
                <w:szCs w:val="22"/>
                <w:shd w:fill="FFFFFF" w:val="clear"/>
                <w:lang w:val="pl-PL" w:eastAsia="pl-PL" w:bidi="ar-SA"/>
              </w:rPr>
              <w:t>Nazwa projektu nr 3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  <w:p>
            <w:pPr>
              <w:pStyle w:val="Default"/>
              <w:tabs>
                <w:tab w:val="clear" w:pos="708"/>
              </w:tabs>
              <w:bidi w:val="0"/>
              <w:spacing w:lineRule="auto" w:line="240"/>
              <w:jc w:val="left"/>
              <w:rPr>
                <w:rFonts w:ascii="Times New Roman" w:hAnsi="Times New Roman"/>
                <w:b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pl-PL" w:eastAsia="en-US" w:bidi="ar-SA"/>
              </w:rPr>
              <w:t>DOBRY STADION-WSPÓLNA KORZYŚĆ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405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Zakup i montaż stacjonarnego i przenośnego sprzętu nagłaśniającego. Zakup i montaż piłkochwytów. Wykonanie zabiegów pielęgnacji murawy boiska piłkarskiego. Zakup i montaż wiat - ławek rezerwowych.</w:t>
            </w:r>
          </w:p>
        </w:tc>
        <w:tc>
          <w:tcPr>
            <w:tcW w:w="1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  <w:t>Imię i nazwisko osoby głosującej ;</w:t>
      </w:r>
    </w:p>
    <w:tbl>
      <w:tblPr>
        <w:tblStyle w:val="Tabela-Siatka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01"/>
        <w:gridCol w:w="305"/>
        <w:gridCol w:w="302"/>
        <w:gridCol w:w="300"/>
        <w:gridCol w:w="304"/>
        <w:gridCol w:w="302"/>
        <w:gridCol w:w="301"/>
        <w:gridCol w:w="301"/>
        <w:gridCol w:w="305"/>
        <w:gridCol w:w="302"/>
        <w:gridCol w:w="300"/>
        <w:gridCol w:w="302"/>
        <w:gridCol w:w="304"/>
        <w:gridCol w:w="302"/>
        <w:gridCol w:w="300"/>
        <w:gridCol w:w="302"/>
        <w:gridCol w:w="304"/>
        <w:gridCol w:w="302"/>
        <w:gridCol w:w="300"/>
        <w:gridCol w:w="304"/>
        <w:gridCol w:w="303"/>
        <w:gridCol w:w="300"/>
        <w:gridCol w:w="302"/>
        <w:gridCol w:w="303"/>
        <w:gridCol w:w="303"/>
        <w:gridCol w:w="301"/>
        <w:gridCol w:w="301"/>
        <w:gridCol w:w="303"/>
        <w:gridCol w:w="303"/>
        <w:gridCol w:w="300"/>
      </w:tblGrid>
      <w:tr>
        <w:trPr/>
        <w:tc>
          <w:tcPr>
            <w:tcW w:w="3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  <w:t>Adres zamieszkania:</w:t>
      </w:r>
    </w:p>
    <w:tbl>
      <w:tblPr>
        <w:tblStyle w:val="Tabela-Siatka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01"/>
        <w:gridCol w:w="305"/>
        <w:gridCol w:w="302"/>
        <w:gridCol w:w="300"/>
        <w:gridCol w:w="304"/>
        <w:gridCol w:w="302"/>
        <w:gridCol w:w="301"/>
        <w:gridCol w:w="301"/>
        <w:gridCol w:w="305"/>
        <w:gridCol w:w="302"/>
        <w:gridCol w:w="300"/>
        <w:gridCol w:w="302"/>
        <w:gridCol w:w="304"/>
        <w:gridCol w:w="302"/>
        <w:gridCol w:w="300"/>
        <w:gridCol w:w="302"/>
        <w:gridCol w:w="304"/>
        <w:gridCol w:w="302"/>
        <w:gridCol w:w="300"/>
        <w:gridCol w:w="304"/>
        <w:gridCol w:w="303"/>
        <w:gridCol w:w="300"/>
        <w:gridCol w:w="302"/>
        <w:gridCol w:w="303"/>
        <w:gridCol w:w="303"/>
        <w:gridCol w:w="301"/>
        <w:gridCol w:w="301"/>
        <w:gridCol w:w="303"/>
        <w:gridCol w:w="303"/>
        <w:gridCol w:w="300"/>
      </w:tblGrid>
      <w:tr>
        <w:trPr/>
        <w:tc>
          <w:tcPr>
            <w:tcW w:w="3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  <w:t>Miejscowość</w:t>
      </w:r>
    </w:p>
    <w:tbl>
      <w:tblPr>
        <w:tblStyle w:val="Tabela-Siatka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01"/>
        <w:gridCol w:w="305"/>
        <w:gridCol w:w="302"/>
        <w:gridCol w:w="300"/>
        <w:gridCol w:w="304"/>
        <w:gridCol w:w="302"/>
        <w:gridCol w:w="301"/>
        <w:gridCol w:w="301"/>
        <w:gridCol w:w="305"/>
        <w:gridCol w:w="302"/>
        <w:gridCol w:w="300"/>
        <w:gridCol w:w="302"/>
        <w:gridCol w:w="304"/>
        <w:gridCol w:w="302"/>
        <w:gridCol w:w="300"/>
        <w:gridCol w:w="302"/>
        <w:gridCol w:w="304"/>
        <w:gridCol w:w="302"/>
        <w:gridCol w:w="300"/>
        <w:gridCol w:w="304"/>
        <w:gridCol w:w="303"/>
        <w:gridCol w:w="300"/>
        <w:gridCol w:w="302"/>
        <w:gridCol w:w="303"/>
        <w:gridCol w:w="303"/>
        <w:gridCol w:w="301"/>
        <w:gridCol w:w="301"/>
        <w:gridCol w:w="303"/>
        <w:gridCol w:w="303"/>
        <w:gridCol w:w="300"/>
      </w:tblGrid>
      <w:tr>
        <w:trPr/>
        <w:tc>
          <w:tcPr>
            <w:tcW w:w="3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3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  <w:t xml:space="preserve">Ulica </w:t>
        <w:tab/>
        <w:tab/>
        <w:tab/>
        <w:tab/>
        <w:tab/>
        <w:tab/>
        <w:tab/>
        <w:tab/>
        <w:tab/>
        <w:t>Nr domu/mieszkania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/>
          <w:b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  <w:t>………………………………………………………</w:t>
      </w:r>
      <w:r>
        <w:rPr>
          <w:rFonts w:eastAsia="Times New Roman" w:cs="Times New Roman" w:ascii="Times New Roman" w:hAnsi="Times New Roman"/>
          <w:b/>
          <w:bCs/>
          <w:color w:val="000000"/>
          <w:kern w:val="0"/>
          <w:shd w:fill="FFFFFF" w:val="clear"/>
          <w:lang w:eastAsia="pl-PL"/>
          <w14:ligatures w14:val="none"/>
        </w:rPr>
        <w:t>.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Cs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i/>
          <w:iCs/>
          <w:color w:val="000000"/>
          <w:kern w:val="0"/>
          <w:shd w:fill="FFFFFF" w:val="clear"/>
          <w:lang w:eastAsia="pl-PL"/>
          <w14:ligatures w14:val="none"/>
        </w:rPr>
        <w:t>(</w:t>
      </w:r>
      <w:r>
        <w:rPr>
          <w:rFonts w:eastAsia="Times New Roman" w:cs="Times New Roman" w:ascii="Times New Roman" w:hAnsi="Times New Roman"/>
          <w:i/>
          <w:iCs/>
          <w:color w:val="000000"/>
          <w:kern w:val="0"/>
          <w:sz w:val="20"/>
          <w:szCs w:val="20"/>
          <w:shd w:fill="FFFFFF" w:val="clear"/>
          <w:lang w:eastAsia="pl-PL"/>
          <w14:ligatures w14:val="none"/>
        </w:rPr>
        <w:t>Data oraz podpis</w:t>
      </w:r>
      <w:r>
        <w:rPr>
          <w:rFonts w:eastAsia="Times New Roman" w:cs="Times New Roman" w:ascii="Times New Roman" w:hAnsi="Times New Roman"/>
          <w:i/>
          <w:iCs/>
          <w:color w:val="000000"/>
          <w:kern w:val="0"/>
          <w:shd w:fill="FFFFFF" w:val="clear"/>
          <w:lang w:eastAsia="pl-PL"/>
          <w14:ligatures w14:val="none"/>
        </w:rPr>
        <w:t>)</w:t>
      </w:r>
    </w:p>
    <w:p>
      <w:pPr>
        <w:pStyle w:val="Normal"/>
        <w:spacing w:lineRule="auto" w:line="360" w:before="120" w:after="120"/>
        <w:ind w:left="4535"/>
        <w:rPr>
          <w:rFonts w:ascii="Times New Roman" w:hAnsi="Times New Roman" w:eastAsia="Times New Roman" w:cs="Times New Roman"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hd w:fill="FFFFFF" w:val="clear"/>
          <w:lang w:eastAsia="pl-PL"/>
          <w14:ligatures w14:val="none"/>
        </w:rPr>
      </w:r>
    </w:p>
    <w:p>
      <w:pPr>
        <w:pStyle w:val="Normal"/>
        <w:spacing w:lineRule="auto" w:line="360" w:before="120" w:after="120"/>
        <w:ind w:left="4535"/>
        <w:rPr>
          <w:rFonts w:ascii="Times New Roman" w:hAnsi="Times New Roman" w:eastAsia="Times New Roman" w:cs="Times New Roman"/>
          <w:color w:val="000000"/>
          <w:kern w:val="0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hd w:fill="FFFFFF" w:val="clear"/>
          <w:lang w:eastAsia="pl-PL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>KLAUZULA INFORMACYJNA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 xml:space="preserve">W związku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dalej zwane RODO, informujemy o zasadach przetwarzania danych osobowych: </w:t>
      </w:r>
    </w:p>
    <w:p>
      <w:pPr>
        <w:pStyle w:val="Normal"/>
        <w:numPr>
          <w:ilvl w:val="0"/>
          <w:numId w:val="10"/>
        </w:numPr>
        <w:spacing w:lineRule="auto" w:line="257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14"/>
          <w:szCs w:val="14"/>
          <w:shd w:fill="FFFFFF" w:val="clear"/>
          <w:lang w:eastAsia="pl-PL"/>
          <w14:ligatures w14:val="none"/>
        </w:rPr>
        <w:t>Administratorem danych osobowych przetwarzanych w Urzędzie Miasta Kamienna Góra jest Burmistrz Miasta Kamienna Góra z siedzibą w Kamiennej Górze przy Placu Grunwaldzkim 1</w:t>
      </w:r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>.</w:t>
      </w:r>
    </w:p>
    <w:p>
      <w:pPr>
        <w:pStyle w:val="Normal"/>
        <w:numPr>
          <w:ilvl w:val="0"/>
          <w:numId w:val="6"/>
        </w:numPr>
        <w:spacing w:lineRule="auto" w:line="257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 xml:space="preserve">Z Administratorem danych osobowych można się skontaktować poprzez adres e-mail </w:t>
      </w:r>
      <w:hyperlink r:id="rId2">
        <w:r>
          <w:rPr>
            <w:rStyle w:val="Style9"/>
            <w:rFonts w:eastAsia="Times New Roman" w:cs="Calibri"/>
            <w:color w:val="0563C1"/>
            <w:kern w:val="0"/>
            <w:sz w:val="14"/>
            <w:szCs w:val="14"/>
            <w:u w:val="single"/>
            <w:shd w:fill="FFFFFF" w:val="clear"/>
            <w:lang w:eastAsia="pl-PL"/>
            <w14:ligatures w14:val="none"/>
          </w:rPr>
          <w:t>iod@kamiennagora.pl</w:t>
        </w:r>
      </w:hyperlink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 xml:space="preserve"> lub pisemnie na adres siedziby Administratora; </w:t>
      </w:r>
    </w:p>
    <w:p>
      <w:pPr>
        <w:pStyle w:val="Normal"/>
        <w:numPr>
          <w:ilvl w:val="0"/>
          <w:numId w:val="6"/>
        </w:numPr>
        <w:spacing w:lineRule="auto" w:line="257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 xml:space="preserve">Administrator danych osobowych wyznaczył Inspektora ochrony danych, z którym można się skontaktować poprzez adres e-mail </w:t>
      </w:r>
      <w:hyperlink r:id="rId3">
        <w:r>
          <w:rPr>
            <w:rStyle w:val="Style9"/>
            <w:rFonts w:eastAsia="Times New Roman" w:cs="Calibri"/>
            <w:color w:val="0563C1"/>
            <w:kern w:val="0"/>
            <w:sz w:val="14"/>
            <w:szCs w:val="14"/>
            <w:u w:val="single"/>
            <w:shd w:fill="FFFFFF" w:val="clear"/>
            <w:lang w:eastAsia="pl-PL"/>
            <w14:ligatures w14:val="none"/>
          </w:rPr>
          <w:t>iod@kamiennagora.pl</w:t>
        </w:r>
      </w:hyperlink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 xml:space="preserve"> lub pisemnie na adres siedziby Administratora; </w:t>
      </w:r>
    </w:p>
    <w:p>
      <w:pPr>
        <w:pStyle w:val="Normal"/>
        <w:numPr>
          <w:ilvl w:val="0"/>
          <w:numId w:val="6"/>
        </w:numPr>
        <w:spacing w:lineRule="auto" w:line="257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 xml:space="preserve">Pana/i dane osobowe będą przetwarzane w celu realizacji budżetu obywatelskiego Miasta Kamienna Góra. </w:t>
      </w:r>
    </w:p>
    <w:p>
      <w:pPr>
        <w:pStyle w:val="Normal"/>
        <w:numPr>
          <w:ilvl w:val="0"/>
          <w:numId w:val="6"/>
        </w:numPr>
        <w:spacing w:lineRule="auto" w:line="257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 xml:space="preserve">Pana/i dane osobowe będą przetwarzane na podstawie: </w:t>
      </w:r>
    </w:p>
    <w:p>
      <w:pPr>
        <w:pStyle w:val="Normal"/>
        <w:numPr>
          <w:ilvl w:val="0"/>
          <w:numId w:val="11"/>
        </w:numPr>
        <w:spacing w:lineRule="auto" w:line="257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>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</w:t>
      </w:r>
    </w:p>
    <w:p>
      <w:pPr>
        <w:pStyle w:val="Normal"/>
        <w:numPr>
          <w:ilvl w:val="0"/>
          <w:numId w:val="7"/>
        </w:numPr>
        <w:spacing w:lineRule="auto" w:line="257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>Ustawy z dnia 8 marca 1990 r. o samorządzie gminnym,</w:t>
      </w:r>
    </w:p>
    <w:p>
      <w:pPr>
        <w:pStyle w:val="Normal"/>
        <w:numPr>
          <w:ilvl w:val="0"/>
          <w:numId w:val="7"/>
        </w:numPr>
        <w:spacing w:lineRule="auto" w:line="257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>Uchwały Rady Miasta Kamienna Góra nr II/8/24 z dnia 28 maja 2024 r. w sprawie budżetu obywatelskiego Miasta Kamienna Góra.</w:t>
      </w:r>
    </w:p>
    <w:p>
      <w:pPr>
        <w:pStyle w:val="Normal"/>
        <w:numPr>
          <w:ilvl w:val="0"/>
          <w:numId w:val="6"/>
        </w:numPr>
        <w:spacing w:lineRule="auto" w:line="257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 xml:space="preserve">Odbiorcami Pana/i danych mogą być: </w:t>
      </w:r>
    </w:p>
    <w:p>
      <w:pPr>
        <w:pStyle w:val="Normal"/>
        <w:numPr>
          <w:ilvl w:val="0"/>
          <w:numId w:val="12"/>
        </w:numPr>
        <w:spacing w:lineRule="auto" w:line="257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>Organy władzy publicznej oraz podmioty wykonujące zadania publiczne lub działające na zlecenie organów władzy publicznej, w zakresie i celach, które wynikają z przepisów powszechnie obowiązującego prawa,</w:t>
      </w:r>
    </w:p>
    <w:p>
      <w:pPr>
        <w:pStyle w:val="Normal"/>
        <w:numPr>
          <w:ilvl w:val="0"/>
          <w:numId w:val="8"/>
        </w:numPr>
        <w:spacing w:lineRule="auto" w:line="257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 xml:space="preserve">Inne podmioty, które na podstawie przepisów prawa lub stosownych umów podpisanych przez Administratora mogą przetwarzać dane osobowe. </w:t>
      </w:r>
    </w:p>
    <w:p>
      <w:pPr>
        <w:pStyle w:val="Normal"/>
        <w:numPr>
          <w:ilvl w:val="0"/>
          <w:numId w:val="6"/>
        </w:numPr>
        <w:spacing w:lineRule="auto" w:line="257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 xml:space="preserve">Pana/i dane osobowe nie będą przekazywane do państw trzecich i instytucji międzynarodowych; </w:t>
      </w:r>
    </w:p>
    <w:p>
      <w:pPr>
        <w:pStyle w:val="Normal"/>
        <w:numPr>
          <w:ilvl w:val="0"/>
          <w:numId w:val="6"/>
        </w:numPr>
        <w:spacing w:lineRule="auto" w:line="257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 xml:space="preserve">Pana/i dane osobowe będą przetwarzane przez Administratora przez okres niezbędny do osiągnięcia celu na jaki zostały zebrane, oraz zgodnie z przepisami ustawy z dnia 14 lipca 1983 r. o narodowym zasobie archiwalnym i archiwach, a także Rozporządzenia Prezesa Rady Ministrów z dnia 18 stycznia 2011 r. w sprawie instrukcji kancelaryjnej , jednolitych rzeczowych wykazów akt oraz instrukcji w sprawie organizacji i zakresu działania archiwów zakładowych; </w:t>
      </w:r>
    </w:p>
    <w:p>
      <w:pPr>
        <w:pStyle w:val="Normal"/>
        <w:numPr>
          <w:ilvl w:val="0"/>
          <w:numId w:val="6"/>
        </w:numPr>
        <w:spacing w:lineRule="auto" w:line="257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 xml:space="preserve">Posiada Pan/i prawo do żądania od Administratora dostępu do swoich danych, sprostowania, usunięcia lub ograniczenia przetwarzania danych osobowych oraz prawo do wniesienia sprzeciwu wobec przetwarzania a także prawo do przenoszenia swoich danych osobowych; </w:t>
      </w:r>
    </w:p>
    <w:p>
      <w:pPr>
        <w:pStyle w:val="Normal"/>
        <w:numPr>
          <w:ilvl w:val="0"/>
          <w:numId w:val="6"/>
        </w:numPr>
        <w:spacing w:lineRule="auto" w:line="257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 xml:space="preserve">Jeżeli przetwarzanie Pana/i danych osobowych odbywa się na podstawie zgody posiada Pan/i prawo do cofnięcia zgody na przetwarzanie danych osobowych w dowolnym momencie bez wpływu na zgodność z prawem przetwarzania, którego dokonano na podstawie zgody przed jej cofnięciem; </w:t>
      </w:r>
    </w:p>
    <w:p>
      <w:pPr>
        <w:pStyle w:val="Normal"/>
        <w:numPr>
          <w:ilvl w:val="0"/>
          <w:numId w:val="6"/>
        </w:numPr>
        <w:spacing w:lineRule="auto" w:line="257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 xml:space="preserve">Posiada Pan/i prawo do wniesienia skargi do organu na niezgodne z RODO przetwarzanie danych osobowych. Organem nadzorczym jest Prezes Urzędu Ochrony Danych Osobowych z siedzibą w Warszawie (00-193) przy ul. Stawki 2. </w:t>
      </w:r>
    </w:p>
    <w:p>
      <w:pPr>
        <w:pStyle w:val="Normal"/>
        <w:numPr>
          <w:ilvl w:val="0"/>
          <w:numId w:val="6"/>
        </w:numPr>
        <w:spacing w:lineRule="auto" w:line="257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 xml:space="preserve">Podanie przez Pana/ią danych osobowych jest dobrowolne, jednakże nie podanie ich uniemożliwi wzięcie udziału w realizacji budżetu obywatelskiego Miasta Kamienna Góra; </w:t>
      </w:r>
    </w:p>
    <w:p>
      <w:pPr>
        <w:pStyle w:val="Normal"/>
        <w:numPr>
          <w:ilvl w:val="0"/>
          <w:numId w:val="6"/>
        </w:numPr>
        <w:spacing w:lineRule="auto" w:line="257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14"/>
          <w:szCs w:val="14"/>
          <w:shd w:fill="FFFFFF" w:val="clear"/>
          <w:lang w:eastAsia="pl-PL"/>
          <w14:ligatures w14:val="none"/>
        </w:rPr>
        <w:t>Pana/i dane osobowe nie będą podlegały automatycznemu procesowi podejmowania decyzji ani profilowaniu.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2240" w:h="15840"/>
      <w:pgMar w:left="1417" w:right="1417" w:gutter="0" w:header="0" w:top="1417" w:footer="0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color w:val="00000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color w:val="00000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color w:val="00000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color w:val="00000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color w:val="00000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color w:val="00000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color w:val="00000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color w:val="00000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color w:val="00000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color w:val="000000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ascii="Times New Roman" w:hAnsi="Times New Roman" w:cs="Times New Roman"/>
        <w:color w:val="00000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  <w:color w:val="00000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ascii="Times New Roman" w:hAnsi="Times New Roman" w:cs="Times New Roman"/>
        <w:color w:val="00000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  <w:color w:val="00000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ascii="Times New Roman" w:hAnsi="Times New Roman" w:cs="Times New Roman"/>
        <w:color w:val="000000"/>
      </w:rPr>
    </w:lvl>
  </w:abstractNum>
  <w:abstractNum w:abstractNumId="4"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ascii="Times New Roman" w:hAnsi="Times New Roman" w:cs="Times New Roman"/>
        <w:color w:val="00000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  <w:color w:val="00000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ascii="Times New Roman" w:hAnsi="Times New Roman" w:cs="Times New Roman"/>
        <w:color w:val="00000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  <w:color w:val="00000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ascii="Times New Roman" w:hAnsi="Times New Roman" w:cs="Times New Roman"/>
        <w:color w:val="000000"/>
      </w:rPr>
    </w:lvl>
  </w:abstractNum>
  <w:abstractNum w:abstractNumId="5"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ascii="Times New Roman" w:hAnsi="Times New Roman" w:cs="Times New Roman"/>
        <w:color w:val="00000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  <w:color w:val="00000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ascii="Times New Roman" w:hAnsi="Times New Roman" w:cs="Times New Roman"/>
        <w:color w:val="00000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  <w:color w:val="00000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ascii="Times New Roman" w:hAnsi="Times New Roman" w:cs="Times New Roman"/>
        <w:color w:val="000000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ascii="Times New Roman" w:hAnsi="Times New Roman" w:cs="Times New Roman"/>
        <w:color w:val="00000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  <w:color w:val="00000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ascii="Times New Roman" w:hAnsi="Times New Roman" w:cs="Times New Roman"/>
        <w:color w:val="00000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  <w:color w:val="00000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ascii="Times New Roman" w:hAnsi="Times New Roman" w:cs="Times New Roman"/>
        <w:color w:val="000000"/>
      </w:rPr>
    </w:lvl>
  </w:abstractNum>
  <w:abstractNum w:abstractNumId="7"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ascii="Times New Roman" w:hAnsi="Times New Roman" w:cs="Times New Roman"/>
        <w:color w:val="00000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  <w:color w:val="00000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ascii="Times New Roman" w:hAnsi="Times New Roman" w:cs="Times New Roman"/>
        <w:color w:val="00000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  <w:color w:val="00000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ascii="Times New Roman" w:hAnsi="Times New Roman" w:cs="Times New Roman"/>
        <w:color w:val="000000"/>
      </w:rPr>
    </w:lvl>
  </w:abstractNum>
  <w:abstractNum w:abstractNumId="8"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ascii="Times New Roman" w:hAnsi="Times New Roman" w:cs="Times New Roman"/>
        <w:color w:val="00000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  <w:color w:val="00000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ascii="Times New Roman" w:hAnsi="Times New Roman" w:cs="Times New Roman"/>
        <w:color w:val="00000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  <w:color w:val="00000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ascii="Times New Roman" w:hAnsi="Times New Roman" w:cs="Times New Roman"/>
        <w:color w:val="000000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6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8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99"/>
    <w:rsid w:val="00b26b5b"/>
    <w:pPr>
      <w:spacing w:after="0" w:line="240" w:lineRule="auto"/>
    </w:pPr>
    <w:rPr>
      <w:lang w:eastAsia="pl-P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@kamiennagora.pl" TargetMode="External"/><Relationship Id="rId3" Type="http://schemas.openxmlformats.org/officeDocument/2006/relationships/hyperlink" Target="mailto:iod@kamiennagora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LibreOffice/26.2.6.3$Windows_X86_64 LibreOffice_project/8221e31b3ac356a1623c672912a3d2b492f7e3d1</Application>
  <AppVersion>15.0000</AppVersion>
  <Pages>2</Pages>
  <Words>753</Words>
  <Characters>4662</Characters>
  <CharactersWithSpaces>5362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2023-09-21T12:58:00Z</dcterms:created>
  <dc:creator>o2</dc:creator>
  <dc:description/>
  <dc:language>pl-PL</dc:language>
  <cp:lastModifiedBy/>
  <dcterms:modified xsi:type="dcterms:W3CDTF">2026-09-29T13:43:36Z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