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120" w:after="280"/>
        <w:ind w:hanging="0" w:left="0" w:right="0"/>
        <w:jc w:val="both"/>
        <w:rPr/>
      </w:pPr>
      <w:bookmarkStart w:id="0" w:name="049f7fdd-14c5-446d-8d27-50b0bb80a2be"/>
      <w:bookmarkEnd w:id="0"/>
      <w:r>
        <w:rPr>
          <w:rStyle w:val="Teksttreci"/>
          <w:rFonts w:ascii="Times New Roman" w:hAnsi="Times New Roman"/>
          <w:sz w:val="24"/>
          <w:szCs w:val="24"/>
          <w:u w:val="none"/>
        </w:rPr>
        <w:t xml:space="preserve">Na podstawie art. 18 ust. 2 pkt 15 ustawy z dnia 8 marca 1990 r. o samorządzie gminnym </w:t>
      </w:r>
      <w:hyperlink r:id="rId2">
        <w:bookmarkStart w:id="1" w:name="59a62ef4-b6b0-49d0-b201-e625523a52d5"/>
        <w:bookmarkEnd w:id="1"/>
        <w:r>
          <w:rPr>
            <w:rStyle w:val="Hyperlink"/>
            <w:rFonts w:eastAsia="Calibri" w:cs="Calibri" w:ascii="Times New Roman" w:hAnsi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z w:val="24"/>
            <w:szCs w:val="24"/>
            <w:u w:val="none"/>
          </w:rPr>
          <w:t>Dz.U. z 2025 r. poz. 1153 z późn. zm.</w:t>
        </w:r>
      </w:hyperlink>
      <w:r>
        <w:rPr>
          <w:rStyle w:val="Teksttreci"/>
          <w:rFonts w:ascii="Times New Roman" w:hAnsi="Times New Roman"/>
          <w:sz w:val="24"/>
          <w:szCs w:val="24"/>
          <w:u w:val="none"/>
        </w:rPr>
        <w:t xml:space="preserve">), w związku z art. 5a ust. 1 ustawy z dnia 24 kwietnia 2003 r. o działalności pożytku publicznego i o wolontariacie </w:t>
      </w:r>
      <w:hyperlink r:id="rId3">
        <w:bookmarkStart w:id="2" w:name="1dfdc464-4c0f-491f-90da-df871b3ab159"/>
        <w:bookmarkEnd w:id="2"/>
        <w:r>
          <w:rPr>
            <w:rStyle w:val="Hyperlink"/>
            <w:rFonts w:eastAsia="Calibri" w:cs="Calibri" w:ascii="Times New Roman" w:hAnsi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sz w:val="24"/>
            <w:szCs w:val="24"/>
            <w:u w:val="none"/>
          </w:rPr>
          <w:t>(</w:t>
        </w:r>
      </w:hyperlink>
      <w:r>
        <w:rPr>
          <w:rStyle w:val="Teksttreci"/>
          <w:rFonts w:ascii="Times New Roman" w:hAnsi="Times New Roman"/>
          <w:sz w:val="24"/>
          <w:szCs w:val="24"/>
          <w:u w:val="none"/>
        </w:rPr>
        <w:t xml:space="preserve">Dz.U. z 2025 poz. 1338) oraz </w:t>
      </w:r>
      <w:bookmarkStart w:id="3" w:name="c90a27b5-6c90-4d15-a7f6-cb8b49485e46"/>
      <w:bookmarkEnd w:id="3"/>
      <w:r>
        <w:rPr>
          <w:rStyle w:val="Strong"/>
          <w:rFonts w:eastAsia="Calibri" w:cs="Calibri" w:ascii="Times New Roman" w:hAnsi="Times New Roman"/>
          <w:b w:val="false"/>
          <w:bCs w:val="false"/>
          <w:sz w:val="24"/>
          <w:szCs w:val="24"/>
          <w:u w:val="none"/>
        </w:rPr>
        <w:t>Uchwały nr XXI/136/25</w:t>
      </w:r>
      <w:r>
        <w:rPr>
          <w:rStyle w:val="Teksttreci"/>
          <w:rFonts w:ascii="Times New Roman" w:hAnsi="Times New Roman"/>
          <w:sz w:val="24"/>
          <w:szCs w:val="24"/>
          <w:u w:val="none"/>
        </w:rPr>
        <w:t xml:space="preserve"> Rady Miasta Kamienna Góra   z dnia 26 listopada 2025 r. w sprawie przyjęcia „Programu współpracy Gminy Miejskiej Kamienna Góra z organizacjami pozarządowymi i innymi podmiotami prowadzącymi działalność pożytku publicznego na rok 2026”</w:t>
      </w:r>
      <w:r>
        <w:rPr>
          <w:rStyle w:val="Teksttreci"/>
          <w:rFonts w:ascii="Times New Roman" w:hAnsi="Times New Roman"/>
          <w:sz w:val="24"/>
          <w:szCs w:val="24"/>
        </w:rPr>
        <w:t>oraz Uchwały nr XXIV/150/26  z dnia 25 lutego 2026 r. w sprawie zatwierdzenia Gminnego Programu Profilaktyki i Rozwiązywania Problemów Alkoholowych oraz Przeciwdziałaniu Narkomanii dla miasta Kamienna Góra”.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hanging="0" w:left="0" w:right="0"/>
        <w:jc w:val="center"/>
        <w:rPr>
          <w:rStyle w:val="Teksttreci"/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Web"/>
        <w:spacing w:beforeAutospacing="0" w:before="0" w:afterAutospacing="0" w:after="0"/>
        <w:jc w:val="center"/>
        <w:rPr>
          <w:rFonts w:ascii="Calibri" w:hAnsi="Calibri" w:cs="Calibri" w:asciiTheme="minorHAnsi" w:cstheme="minorHAnsi" w:hAnsiTheme="minorHAnsi"/>
        </w:rPr>
      </w:pPr>
      <w:r>
        <w:rPr>
          <w:rStyle w:val="Strong"/>
          <w:rFonts w:cs="Calibri" w:ascii="Calibri" w:hAnsi="Calibri" w:asciiTheme="minorHAnsi" w:cstheme="minorHAnsi" w:hAnsiTheme="minorHAnsi"/>
        </w:rPr>
        <w:t>Burmistrz Miasta Kamienna Góra</w:t>
      </w:r>
    </w:p>
    <w:p>
      <w:pPr>
        <w:pStyle w:val="NormalWeb"/>
        <w:spacing w:beforeAutospacing="0" w:before="0" w:afterAutospacing="0" w:after="0"/>
        <w:jc w:val="center"/>
        <w:rPr>
          <w:rStyle w:val="Strong"/>
          <w:rFonts w:ascii="Calibri" w:hAnsi="Calibri" w:cs="Calibri" w:asciiTheme="minorHAnsi" w:cstheme="minorHAnsi" w:hAnsiTheme="minorHAnsi"/>
        </w:rPr>
      </w:pPr>
      <w:r>
        <w:rPr>
          <w:rStyle w:val="Strong"/>
          <w:rFonts w:cs="Calibri" w:ascii="Calibri" w:hAnsi="Calibri" w:asciiTheme="minorHAnsi" w:cstheme="minorHAnsi" w:hAnsiTheme="minorHAnsi"/>
        </w:rPr>
        <w:t xml:space="preserve">ogłasza otwarty konkurs ofert na wspieranie wykonywania zadań publicznych </w:t>
        <w:br/>
        <w:t xml:space="preserve"> w obszarze profilaktyki i rozwiązywania problemów uzależnień</w:t>
      </w:r>
    </w:p>
    <w:p>
      <w:pPr>
        <w:pStyle w:val="NormalWeb"/>
        <w:spacing w:beforeAutospacing="0" w:before="0" w:afterAutospacing="0" w:after="0"/>
        <w:jc w:val="center"/>
        <w:rPr>
          <w:rFonts w:ascii="Calibri" w:hAnsi="Calibri" w:cs="Calibri" w:asciiTheme="minorHAnsi" w:cstheme="minorHAnsi" w:hAnsiTheme="minorHAnsi"/>
        </w:rPr>
      </w:pPr>
      <w:r>
        <w:rPr>
          <w:rStyle w:val="Strong"/>
          <w:rFonts w:cs="Calibri" w:ascii="Calibri" w:hAnsi="Calibri" w:asciiTheme="minorHAnsi" w:cstheme="minorHAnsi" w:hAnsiTheme="minorHAnsi"/>
        </w:rPr>
        <w:t>wraz z udzieleniem dotacji na dofinansowanie ich realizacji w 2026 roku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b/>
          <w:sz w:val="26"/>
          <w:szCs w:val="26"/>
        </w:rPr>
      </w:pPr>
      <w:r>
        <w:rPr>
          <w:rFonts w:cs="Calibri" w:cstheme="minorHAnsi" w:ascii="Calibri" w:hAnsi="Calibri"/>
          <w:b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Cele i rodzaj zadania.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ListParagraph"/>
        <w:numPr>
          <w:ilvl w:val="0"/>
          <w:numId w:val="13"/>
        </w:numPr>
        <w:spacing w:lineRule="auto" w:line="259" w:before="0" w:after="160"/>
        <w:contextualSpacing/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Cele:</w:t>
      </w:r>
    </w:p>
    <w:p>
      <w:pPr>
        <w:pStyle w:val="Normal"/>
        <w:spacing w:lineRule="auto" w:line="259" w:before="0" w:after="16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-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zapewnienie mieszkańcom z terenu miasta, w szczególności uczestniczącym w programach profilaktycznych, dostępu do atrakcyjnych form spędzania czasu wolnego, w tym m. in.: dofinansowanie różnego rodzaju warsztatów i zajęć pozalekcyjnych, sportowych, tanecznych, kulturalno-artystycznych, plastycznych, itp.,</w:t>
      </w:r>
    </w:p>
    <w:p>
      <w:pPr>
        <w:pStyle w:val="Normal"/>
        <w:spacing w:lineRule="auto" w:line="259" w:before="0" w:after="160"/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- zapewnienie dzieciom z terenu miasta możliwości wypoczynku letniego w różnych formach,</w:t>
      </w:r>
    </w:p>
    <w:p>
      <w:pPr>
        <w:pStyle w:val="Normal"/>
        <w:spacing w:lineRule="auto" w:line="259" w:before="0" w:after="160"/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-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podejmowanie działań zmierzających do zmiany wzorców zachowania i spędzania wolnego czasu.</w:t>
      </w:r>
    </w:p>
    <w:p>
      <w:pPr>
        <w:pStyle w:val="ListParagraph"/>
        <w:numPr>
          <w:ilvl w:val="0"/>
          <w:numId w:val="13"/>
        </w:numPr>
        <w:spacing w:lineRule="auto" w:line="259" w:before="0" w:after="160"/>
        <w:contextualSpacing/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Rodzaj zadania:</w:t>
      </w:r>
    </w:p>
    <w:p>
      <w:pPr>
        <w:pStyle w:val="ListParagraph"/>
        <w:spacing w:lineRule="auto" w:line="259" w:before="0" w:after="160"/>
        <w:ind w:left="360"/>
        <w:contextualSpacing/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cstheme="minorHAnsi" w:ascii="Calibri" w:hAnsi="Calibri"/>
          <w:bCs/>
          <w:sz w:val="22"/>
          <w:szCs w:val="22"/>
        </w:rPr>
      </w:r>
    </w:p>
    <w:p>
      <w:pPr>
        <w:pStyle w:val="ListParagraph"/>
        <w:numPr>
          <w:ilvl w:val="0"/>
          <w:numId w:val="14"/>
        </w:numPr>
        <w:spacing w:lineRule="auto" w:line="259" w:before="0" w:after="160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bookmarkStart w:id="4" w:name="_Hlk95479712"/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organizowanie aktywnych form wypoczynku letniego dzieci i młodzieży z Kamiennej Góry, </w:t>
        <w:br/>
        <w:t xml:space="preserve">w szczególności ze środowisk zagrożonych uzależnieniem, w formie </w:t>
      </w:r>
      <w:bookmarkEnd w:id="4"/>
      <w:r>
        <w:rPr>
          <w:rFonts w:cs="Calibri" w:ascii="Calibri" w:hAnsi="Calibri" w:asciiTheme="minorHAnsi" w:cstheme="minorHAnsi" w:hAnsiTheme="minorHAnsi"/>
          <w:sz w:val="22"/>
          <w:szCs w:val="22"/>
        </w:rPr>
        <w:t>kolonii lub obozu;</w:t>
      </w:r>
    </w:p>
    <w:p>
      <w:pPr>
        <w:pStyle w:val="ListParagraph"/>
        <w:numPr>
          <w:ilvl w:val="0"/>
          <w:numId w:val="14"/>
        </w:numPr>
        <w:spacing w:lineRule="auto" w:line="259" w:before="0" w:after="160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organizowanie aktywnych form wypoczynku letniego dzieci i młodzieży z Kamiennej Góry, </w:t>
        <w:br/>
        <w:t>w szczególności ze środowisk zagrożonych uzależnieniem, w formie półkolonii;</w:t>
      </w:r>
    </w:p>
    <w:p>
      <w:pPr>
        <w:pStyle w:val="ListParagraph"/>
        <w:numPr>
          <w:ilvl w:val="0"/>
          <w:numId w:val="14"/>
        </w:numPr>
        <w:spacing w:lineRule="auto" w:line="259" w:before="0" w:after="160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promowanie zdrowego stylu życia poprzez realizację programów z bogatą ofertą zagospodarowania czasu wolnego oraz rozwijania zainteresowań mieszkańców Kamiennej Góra.</w:t>
      </w:r>
    </w:p>
    <w:p>
      <w:pPr>
        <w:pStyle w:val="ListParagraph"/>
        <w:spacing w:lineRule="auto" w:line="259" w:before="0" w:after="160"/>
        <w:ind w:left="1080"/>
        <w:contextualSpacing/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cstheme="minorHAnsi" w:ascii="Calibri" w:hAnsi="Calibri"/>
          <w:bCs/>
          <w:sz w:val="22"/>
          <w:szCs w:val="22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Wysokość środków publicznych przeznaczonych na realizację tego zadania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Wysokość środków publicznych przekazanych na realizację zadania wyniesie: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cstheme="minorHAnsi" w:ascii="Calibri" w:hAnsi="Calibri"/>
          <w:bCs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1)  organizowanie aktywnych form wypoczynku letniego dzieci i młodzieży z Kamiennej Góry, </w:t>
        <w:br/>
        <w:t>w szczególności ze środowisk zagrożonych uzależnieniem, w formie kolonii lub obozu - 7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5 000 zł,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 xml:space="preserve">2)  organizowanie aktywnych form wypoczynku letniego dzieci i młodzieży z Kamiennej Góry, </w:t>
        <w:br/>
        <w:t xml:space="preserve">w szczególności ze środowisk zagrożonych uzależnieniem, w formie półkolonii –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16 000 zł.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cs="Calibri" w:ascii="Calibri" w:hAnsi="Calibri" w:cstheme="minorHAnsi"/>
          <w:b w:val="false"/>
          <w:bCs w:val="false"/>
          <w:sz w:val="22"/>
          <w:szCs w:val="22"/>
        </w:rPr>
        <w:t>3) promowanie zdrowego stylu życia poprzez realizację programów z bogatą ofertą zagospodarowania czasu wolnego oraz rozwijania zainteresowań mieszkańców Kamiennej Góra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32 000 zł.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Zasady przyznawania dotacji: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agwek1"/>
        <w:numPr>
          <w:ilvl w:val="0"/>
          <w:numId w:val="20"/>
        </w:numPr>
        <w:ind w:hanging="380" w:left="380" w:right="0"/>
        <w:rPr/>
      </w:pPr>
      <w:r>
        <w:rPr>
          <w:rStyle w:val="Teksttreci"/>
          <w:color w:val="000000"/>
        </w:rPr>
        <w:t>Zlecenie realizacji zadania i udzielenie dofinansowania następuje z odpowiednim zastosowaniem przepisów ustawy z dnia 24 kwietnia 2003 r. o działalności pożytku publicznego i o wolontariacie (</w:t>
      </w:r>
      <w:hyperlink r:id="rId4">
        <w:bookmarkStart w:id="5" w:name="59a62ef4-b6b0-49d0-b201-e625523a52d5_kop"/>
        <w:bookmarkEnd w:id="5"/>
        <w:r>
          <w:rPr>
            <w:rStyle w:val="Hyperlink"/>
            <w:rFonts w:eastAsia="Calibri" w:cs="Calibri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z w:val="22"/>
            <w:szCs w:val="22"/>
            <w:u w:val="none"/>
          </w:rPr>
          <w:t>Dz.U. z 2025 r. poz. </w:t>
        </w:r>
      </w:hyperlink>
      <w:r>
        <w:rPr>
          <w:rStyle w:val="Teksttreci"/>
          <w:rFonts w:cs="Calibri" w:cstheme="minorHAnsi"/>
          <w:u w:val="none"/>
        </w:rPr>
        <w:t>1338</w:t>
      </w:r>
      <w:hyperlink r:id="rId5">
        <w:r>
          <w:rPr>
            <w:rStyle w:val="Hyperlink"/>
            <w:rFonts w:eastAsia="Calibri" w:cs="Calibri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z w:val="22"/>
            <w:szCs w:val="22"/>
            <w:u w:val="none"/>
          </w:rPr>
          <w:t xml:space="preserve"> z późn. zm.</w:t>
        </w:r>
      </w:hyperlink>
      <w:r>
        <w:rPr>
          <w:rStyle w:val="Teksttreci"/>
          <w:color w:val="000000"/>
        </w:rPr>
        <w:t>) oraz ustawy z dnia 27 sierpnia 2009 r. o finansach publicznych (Dz.U. z 2025 r., poz. 1483 z późn. zm. ) udzielenie dofinansowania na realizację zadania publicznego oznacza, że oferent w ofercie realizacji zadania publicznego wykazuje wkład finansowy własny.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30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Złożenie oferty nie jest równoznaczne z przyznaniem dotacji lub przyznaniem dotacji </w:t>
        <w:br/>
        <w:t>w oczekiwanej wysokości.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31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Kwota przeznaczona na realizację poszczególnych zadań może ulec zmniejszeniu w przypadku stwierdzenia, że zadania te można realizować mniejszym kosztem, złożone oferty nie uzyskają akceptacji Burmistrza Miasta Kamienna Góra lub zaistnieje konieczność zmniejszenia budżetu Gminy w części przeznaczonej na realizację zadania z ważnych przyczyn, niemożliwych do przewidzenia w dniu ogłoszenia konkursu.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32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Ogólna kwota dotacji przeznaczona na realizację zadania może być podzielona między wnioskodawców.</w:t>
      </w:r>
    </w:p>
    <w:p>
      <w:pPr>
        <w:pStyle w:val="ListParagraph"/>
        <w:spacing w:lineRule="auto" w:line="276"/>
        <w:ind w:left="36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33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Na zadanie pn. organizowanie aktywnych form wypoczynku letniego dzieci i młodzieży z Kamiennej Góry, w szczególności ze środowisk zagrożonych uzależnieniem, w formie kolonii lub obozu,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  <w:u w:val="single"/>
        </w:rPr>
        <w:t xml:space="preserve">wybrana zostanie tylko jedna oferta. Gmina Miejska Kamienna Góra zastrzega sobie prawo do przeprowadzenia rekrutacji uczestników ww. zadania. 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34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W przypadku zmniejszenia wysokości wnioskowanej dotacji wnioskodawca może zmniejszyć zakres rzeczowy zadania i kosztorys lub wycofać ofertę.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35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W ramach udzielonej dotacji będą finansowane wyłącznie koszty bezpośrednio związane </w:t>
        <w:br/>
        <w:t>z realizacją zadania.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36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Możliwe jest przekazanie dotacji w transzach – zależy to od specyfiki i harmonogramu realizacji projektu.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37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W konkursie nie przewiduje się wyceny wkładu rzeczowego wnoszonego do projektów.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Termin i warunki realizacji zadań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Zadania muszą być wykonane w roku 2026.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Początek realizacji zadania powinien nastąpić </w:t>
        <w:br/>
        <w:t xml:space="preserve">nie wcześniej niż 3 marca 2026  r., a zakończenie nie później niż 31 grudnia 2026 r. 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Beneficjent musi zapewnić wkład własny finansowy. 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left"/>
        <w:rPr/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Oferent może wydatkować przyznane mu w ramach dotacji środki od dnia podpisania umowy. Środki na realizację zadania wydatkowane 3 marca 2026  r, a datą podpisania umowy, stanowią wkład własny organizacji.</w:t>
      </w:r>
    </w:p>
    <w:p>
      <w:pPr>
        <w:pStyle w:val="Normal"/>
        <w:spacing w:lineRule="auto" w:line="276"/>
        <w:jc w:val="left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Dopuszcza się w trakcie realizacji zadania możliwość dokonywania przesunięć w zakresie poszczególnych pozycji kosztów działania oraz pomiędzy działaniami o 20%. Zmniejszenie nie jest limitowane. Zmiany do wyżej określonego poziomu nie wymagają aneksu do umowy.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Zadanie powinno być realizowane z najwyższą starannością, zgodnie z zawartą umową oraz obowiązującymi standardami, w zakresie opisanym w ofercie.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Zadania powinno być realizowane w taki sposób, by swoimi działaniami obejmowało </w:t>
        <w:br/>
        <w:t>jak największą liczbę beneficjentów.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Termin i warunki składania ofert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Oferty dotyczące wspierania realizacji zadań publicznych w zakresie zadania objętego niniejszym konkursem należy złożyć w terminie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do dnia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31 marca 2026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r. do godziny 15.30 w siedzibie Urzędu Miasta Kamienna Góra przy pl. Grunwaldzkim 1 w Biurze Obsługi Klienta 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lub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przesłać drogą pocztową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(liczy się data wpływu do urzędu, a nie stempla pocztowego).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Oferty przesyłane drogą elektroniczną nie będą przyjmowane.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Oferty powinny być złożone w zamkniętych kopertach z napisem: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„Konkurs ofert 2026”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wraz </w:t>
        <w:br/>
        <w:t xml:space="preserve">z oznaczonym rodzajem zadania (obszarem)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zgodnie z ogłoszeniem konkursowym. W przypadku składania więcej niż jednej oferty, dopuszcza się załączenie jednego kompletu załączników ze wskazaniem na pierwszej stronie (dopisek) przy której ofercie się znajdują.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Oferty muszą być sporządzone zgodnie ze wzorem określonym załącznik nr 1 do  Rozporządzenia Przewodniczącego Komitetu do Spraw Pożytku Publicznego z dnia 24 października 2018 r. </w:t>
        <w:br/>
        <w:t xml:space="preserve">w sprawie wzorów ofert i ramowych wzorów umów dotyczących realizacji zadań publicznych oraz wzorów sprawozdań z wykonania tych zadań. 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Do oferty konkursowej obligatoryjnie należy dołączyć: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kopię aktualnego statutu,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kopię wyciągu z innego rejestru niż KRS, ewidencji lub innego dokumentu  potwierdzającego status prawny Oferenta oraz nazwiska i funkcję osób upoważnionych do składania oświadczeń woli w jego imieniu (np. wypis z ewidencji klubów sportowych gdy zawiera ww. informację lub wypis </w:t>
        <w:br/>
        <w:t>z ewidencji i statut lub inny dokument jeżeli wypis nie zawiera ww. informacji; wyciąg musi być zgodny ze stanem faktycznym i prawnym, niezależnie od tego, kiedy został wydany),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pełnomocnictwa i upoważnienia dla osób składających ofertę do reprezentowania podmiotu, jeżeli dane osoby nie są ujęte w dokumencie stanowiącym o podstawie działalności podmiotu,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w przypadku rozpoczęcia procedury zmiany zarządu/władz/sposobu reprezentacji oferenta – uchwałę dot. zmiany/wyboru nowo wybranych osób oraz kserokopię wniosku dot. zmian złożonego do KRS/właściwego rejestru,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w przypadku wyboru innego sposobu reprezentacji podmiotów składających ofertę wspólną niż wynikający z Krajowego Rejestru Sądowego lub innego właściwego rejestru – dokument potwierdzający upoważnienie do działania w imieniu oferenta (-ów),</w:t>
      </w:r>
    </w:p>
    <w:p>
      <w:pPr>
        <w:pStyle w:val="ListParagraph"/>
        <w:spacing w:lineRule="auto" w:line="276"/>
        <w:ind w:left="36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w przypadku osób prawnych i jednostek organizacyjnych działających na podstawie przepisów ustawy o stosunku Państwa do Kościoła Katolickiego w Rzeczypospolitej Polskiej, o stosunku Państwa do innych kościołów i związków wyznaniowych oraz o gwarancjach i wolności sumienia </w:t>
        <w:br/>
        <w:t xml:space="preserve">i wyznania, jeżeli ich cele statutowe obejmują prowadzenie działalności pożytku publicznego, dekret powołujący na proboszcza lub inna funkcję, upoważniający do składania oświadczeń </w:t>
        <w:br/>
        <w:t>i zaciągania zobowiązań,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w przypadku składania oferty wspólnej – umowę zawartą pomiędzy partnerami, określającą zakres ich świadczeń składających się na realizację zadania publicznego,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w przypadku spółek akcyjnych i spółek z o.o. oraz klubów sportowych działających na podstawie przepisów ustawy z dnia 25 czerwca 2010 r. o sporcie, które nie działają w celu osiągnięcia zysku oraz przeznaczają całość zysków na działalność statutową oraz nie przeznaczają zysku do podziału między swoich członków, udziałowców, akcjonariuszy i pracowników dodatkowo wymagany jest statut.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Terenowe oddziały organizacji (nieposiadające osobowości prawnej) mogą złożyć ofertę wyłącznie za zgodą zarządu głównego organizacji.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W przypadku złożenia kserokopii dokumentów wymienionych w ust. 4 muszą być one potwierdzone na każdej stronie kopii, za zgodność z oryginałem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przez co najmniej jedną osobę reprezentującą podmiot występujący o dotację lub osobę upoważnioną do potwierdzania dokumentów dla tych osób wraz z pieczątkami imiennymi, a w przypadku ich braku wymagane są czytelne podpisy.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Termin i tryb wyboru ofert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Ostateczne rozstrzygnięcie konkursu nastąpi w terminie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  <w:u w:val="single"/>
        </w:rPr>
        <w:t>nie później niż 30 dni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od dnia upływu terminu składania ofert. Możliwe jest dokonywanie rozstrzygnięć w kilku etapach.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Wszystkie oferty złożone zgodnie z przepisami zawartymi w rozdziale V zostaną ocenione pod względem formalnym i merytorycznym przez komisję konkursową powołaną przez Burmistrza Miasta Kamienna Góra.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Decyzję o udzieleniu dotacji podejmuje Burmistrz Miasta Kamienna Góra w formie zarządzenia.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Burmistrz Miasta Kamienna Góra w terminie 7 dni po upływie terminu określonego w ust. 1 zawiadamia w formie pisemnej wnioskodawców o przyjęciu oferty do realizacji lub jej odrzuceniu.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Ogólne zasady kwalifikowalności kosztów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ListParagraph"/>
        <w:numPr>
          <w:ilvl w:val="0"/>
          <w:numId w:val="6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Koszty zostaną uznane za kwalifikowalne, gdy:</w:t>
      </w:r>
    </w:p>
    <w:p>
      <w:pPr>
        <w:pStyle w:val="ListParagraph"/>
        <w:numPr>
          <w:ilvl w:val="0"/>
          <w:numId w:val="7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związane są z realizowanym zadaniem i są niezbędne do jego realizacji,</w:t>
      </w:r>
    </w:p>
    <w:p>
      <w:pPr>
        <w:pStyle w:val="ListParagraph"/>
        <w:numPr>
          <w:ilvl w:val="0"/>
          <w:numId w:val="7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zostały uwzględnione w kosztorysie zadania,</w:t>
      </w:r>
    </w:p>
    <w:p>
      <w:pPr>
        <w:pStyle w:val="ListParagraph"/>
        <w:numPr>
          <w:ilvl w:val="0"/>
          <w:numId w:val="7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zostały skalkulowane racjonalnie na podstawie cen rynkowych,</w:t>
      </w:r>
    </w:p>
    <w:p>
      <w:pPr>
        <w:pStyle w:val="ListParagraph"/>
        <w:numPr>
          <w:ilvl w:val="0"/>
          <w:numId w:val="7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odzwierciedlają koszty rzeczywiste, są skalkulowane proporcjonalnie dla zadania objętego finansowaniem,</w:t>
      </w:r>
    </w:p>
    <w:p>
      <w:pPr>
        <w:pStyle w:val="ListParagraph"/>
        <w:numPr>
          <w:ilvl w:val="0"/>
          <w:numId w:val="7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zostały poniesione we właściwym terminie (termin wydatkowania dotacji oraz innych środków finansowych wynikający z zapisu w umowie),</w:t>
      </w:r>
    </w:p>
    <w:p>
      <w:pPr>
        <w:pStyle w:val="ListParagraph"/>
        <w:numPr>
          <w:ilvl w:val="0"/>
          <w:numId w:val="7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poparte są właściwymi dowodami księgowymi (faktury, umowy oraz rachunki do umów) oraz zostały prawidłowo odzwierciedlone w ewidencji księgowej (oferent zobowiązany jest do prowadzenia wyodrębnionej dokumentacji finansowo-księgowej środków finansowych otrzymanych na realizację zadania zgodnie z ustawą o rachunkowości, w sposób umożliwiający identyfikację poszczególnych operacji księgowych).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6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Koszty kwalifikują się do dofinansowania  (stanowią koszty kwalifikowalne), pod warunkiem, że:</w:t>
      </w:r>
    </w:p>
    <w:p>
      <w:pPr>
        <w:pStyle w:val="ListParagraph"/>
        <w:numPr>
          <w:ilvl w:val="0"/>
          <w:numId w:val="8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nie zawierają kosztów pokrywanych w ramach innych pozycji budżetowych,</w:t>
      </w:r>
    </w:p>
    <w:p>
      <w:pPr>
        <w:pStyle w:val="ListParagraph"/>
        <w:numPr>
          <w:ilvl w:val="0"/>
          <w:numId w:val="8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nie są finansowane z innych źródeł.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6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Koszty kwalifikowane mogą zawierać koszty osobowe i bezosobowe (wynagrodzenia wraz </w:t>
        <w:br/>
        <w:t>z kosztami pracownika i pracodawcy).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6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Koszty administracyjne zadania (w tym np. kierowanie, koordynacja, wykonywanie zadań administracyjno-nadzorczo-kontrolnych)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  <w:u w:val="single"/>
        </w:rPr>
        <w:t>nie mogą przekroczyć 10% wnioskowanej dotacji.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6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Koszty niekwalifikowalne</w:t>
      </w:r>
    </w:p>
    <w:p>
      <w:pPr>
        <w:pStyle w:val="Normal"/>
        <w:spacing w:lineRule="auto" w:line="276"/>
        <w:ind w:left="36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Koszty, które nie zostaną uznane za kwalifikowalne:</w:t>
      </w:r>
    </w:p>
    <w:p>
      <w:pPr>
        <w:pStyle w:val="ListParagraph"/>
        <w:numPr>
          <w:ilvl w:val="0"/>
          <w:numId w:val="9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budowa, zakup budynków lub lokali, zakup gruntów lub innych nieruchomości, </w:t>
      </w:r>
    </w:p>
    <w:p>
      <w:pPr>
        <w:pStyle w:val="ListParagraph"/>
        <w:numPr>
          <w:ilvl w:val="0"/>
          <w:numId w:val="9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podatki z wyłączeniem podatku dochodowego od osób fizycznych (PDOF) oraz podatków od towarów i usług (VAT), pod warunkiem, że podatek VAT nie może zostać odzyskany w oparciu </w:t>
        <w:br/>
        <w:t>o przepisy ustawy o podatku od towarów i usług,</w:t>
      </w:r>
    </w:p>
    <w:p>
      <w:pPr>
        <w:pStyle w:val="ListParagraph"/>
        <w:numPr>
          <w:ilvl w:val="0"/>
          <w:numId w:val="9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pokrycie deficytu zrealizowanych wcześniej przedsięwzięć,</w:t>
      </w:r>
    </w:p>
    <w:p>
      <w:pPr>
        <w:pStyle w:val="ListParagraph"/>
        <w:numPr>
          <w:ilvl w:val="0"/>
          <w:numId w:val="9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odsetki ustawowe i umowne,</w:t>
      </w:r>
    </w:p>
    <w:p>
      <w:pPr>
        <w:pStyle w:val="ListParagraph"/>
        <w:numPr>
          <w:ilvl w:val="0"/>
          <w:numId w:val="9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nagrody pieniężne,</w:t>
      </w:r>
    </w:p>
    <w:p>
      <w:pPr>
        <w:pStyle w:val="ListParagraph"/>
        <w:numPr>
          <w:ilvl w:val="0"/>
          <w:numId w:val="9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kary umowne.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Ocena formalna oferty uwzględnia następujące kryteria: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69"/>
        <w:gridCol w:w="6232"/>
        <w:gridCol w:w="1131"/>
        <w:gridCol w:w="1129"/>
      </w:tblGrid>
      <w:tr>
        <w:trPr/>
        <w:tc>
          <w:tcPr>
            <w:tcW w:w="9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OCENA FORMALNA</w:t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cstheme="minorHAnsi" w:ascii="Calibri" w:hAnsi="Calibri"/>
                <w:b/>
              </w:rPr>
            </w:r>
          </w:p>
        </w:tc>
      </w:tr>
      <w:tr>
        <w:trPr>
          <w:trHeight w:val="520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Lp.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Kryteria oceny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TAK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NIE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1.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Oferta została złożona w terminie podanym w ogłoszeniu konkursowym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2.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Oferta została złożona na obowiązującym formularzu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3.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Czytelnie uzupełniono wszystkie wymagane pola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4.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Oferta została złożona przez podmiot uprawniony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5.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Cele statutowe podmiotu są zgodne ze sferą zadań publicznych, w ramach której będzie realizowane zadanie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6.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Oferta została podpisana przez osobę lub osoby uprawnione do reprezentacji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30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7.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Do oferty zostały załączone wymagane załączniki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264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30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8.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Kopie dokumentów są poświadczone przez osobę lub osoby uprawnione.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301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30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9.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kapitzlist1"/>
              <w:spacing w:lineRule="auto" w:line="240" w:before="0" w:after="0"/>
              <w:ind w:left="0"/>
              <w:contextualSpacing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cstheme="minorHAnsi"/>
                <w:b/>
              </w:rPr>
              <w:t>Oferent zadeklarował wniesienie wkładu własnego finansowego na poziomie wymaganym w ogłoszeniu konkursowym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301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30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10.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kapitzlist1"/>
              <w:spacing w:lineRule="auto" w:line="240" w:before="0" w:after="0"/>
              <w:ind w:left="0"/>
              <w:contextualSpacing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cstheme="minorHAnsi"/>
                <w:b/>
              </w:rPr>
              <w:t>Zadanie jest zgodne z ogłoszeniem konkursowym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301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30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11.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kapitzlist1"/>
              <w:spacing w:lineRule="auto" w:line="240" w:before="0" w:after="0"/>
              <w:ind w:left="0"/>
              <w:contextualSpacing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cstheme="minorHAnsi"/>
                <w:b/>
              </w:rPr>
              <w:t>Termin realizacji zadania publicznego mieści się w ramach określonych w ogłoszeniu konkursowym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UWAGA:</w:t>
      </w:r>
    </w:p>
    <w:p>
      <w:pPr>
        <w:pStyle w:val="ListParagraph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10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Nie przewiduje się możliwości uzupełnienia oferty, która została złożona w stanie niekompletnym.</w:t>
      </w:r>
    </w:p>
    <w:p>
      <w:pPr>
        <w:pStyle w:val="ListParagraph"/>
        <w:numPr>
          <w:ilvl w:val="0"/>
          <w:numId w:val="10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W przypadku złożenia oferty wspólnej, błąd formalny występujący po stronie jednego </w:t>
        <w:br/>
        <w:t>z podmiotów powoduje, że oferta nie będzie podlegała dalszej ocenie.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Kryteria wyboru ofert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ListParagraph"/>
        <w:numPr>
          <w:ilvl w:val="0"/>
          <w:numId w:val="11"/>
        </w:numPr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Komisja konkursowa rozpatruje oferty oddzielnie dla każdego zadania.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11"/>
        </w:numPr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Oferty niespełniające wymogów formalnych nie podlegają dalszej ocenie.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11"/>
        </w:numPr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Ocena merytoryczna oferty uwzględnia następujące kryteria: </w:t>
      </w:r>
    </w:p>
    <w:p>
      <w:pPr>
        <w:pStyle w:val="ListParagrap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tbl>
      <w:tblPr>
        <w:tblW w:w="9366" w:type="dxa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7652"/>
        <w:gridCol w:w="1713"/>
      </w:tblGrid>
      <w:tr>
        <w:trPr/>
        <w:tc>
          <w:tcPr>
            <w:tcW w:w="9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OCENA MERYTORYCZNA</w:t>
            </w:r>
          </w:p>
        </w:tc>
      </w:tr>
      <w:tr>
        <w:trPr>
          <w:trHeight w:val="631" w:hRule="atLeast"/>
        </w:trPr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Kryteria oceny merytorycznej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Liczba przyznanych punktów</w:t>
            </w:r>
          </w:p>
        </w:tc>
      </w:tr>
      <w:tr>
        <w:trPr/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I Zawartość merytoryczna</w:t>
            </w:r>
          </w:p>
          <w:p>
            <w:pPr>
              <w:pStyle w:val="Normal"/>
              <w:numPr>
                <w:ilvl w:val="1"/>
                <w:numId w:val="1"/>
              </w:numPr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Staranność i szczegółowość opisu działań oraz rezultatów wynikających z realizacji zadania –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 xml:space="preserve">  0 - 10 pkt.</w:t>
            </w:r>
          </w:p>
          <w:p>
            <w:pPr>
              <w:pStyle w:val="Normal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numPr>
                <w:ilvl w:val="1"/>
                <w:numId w:val="1"/>
              </w:numPr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Ilość uczestników zadania  –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0 - 10 pkt.</w:t>
            </w:r>
          </w:p>
          <w:p>
            <w:pPr>
              <w:pStyle w:val="Normal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numPr>
                <w:ilvl w:val="1"/>
                <w:numId w:val="1"/>
              </w:numPr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Rzetelny i realny harmonogram działań –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0 - 10 pkt.</w:t>
            </w:r>
          </w:p>
          <w:p>
            <w:pPr>
              <w:pStyle w:val="Normal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numPr>
                <w:ilvl w:val="1"/>
                <w:numId w:val="1"/>
              </w:numPr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Kalkulacja kosztów w odniesieniu do zakresu rzeczowego zadania –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0 - 10 pkt.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 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Max. 40</w:t>
            </w:r>
          </w:p>
        </w:tc>
      </w:tr>
      <w:tr>
        <w:trPr/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II Wkład rzeczowy i osobowy</w:t>
            </w:r>
          </w:p>
          <w:p>
            <w:pPr>
              <w:pStyle w:val="Normal"/>
              <w:numPr>
                <w:ilvl w:val="0"/>
                <w:numId w:val="15"/>
              </w:numPr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Wkład rzeczowy (lokal, sprzęt, materiały) –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0 - 10 pkt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.</w:t>
            </w:r>
          </w:p>
          <w:p>
            <w:pPr>
              <w:pStyle w:val="Normal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15"/>
              </w:numPr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Wkład osobowy, w tym świadczenia wolontariuszy i praca społeczna członków –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0 - 5 pkt.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 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Max. 15</w:t>
            </w:r>
          </w:p>
        </w:tc>
      </w:tr>
      <w:tr>
        <w:trPr/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III Potencjał realizacyjny</w:t>
            </w:r>
          </w:p>
          <w:p>
            <w:pPr>
              <w:pStyle w:val="Normal"/>
              <w:numPr>
                <w:ilvl w:val="0"/>
                <w:numId w:val="16"/>
              </w:numPr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Dotychczasowe doświadczenie w realizacji zadań podobnego rodzaju –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0 - 3 pkt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16"/>
              </w:numPr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Zaangażowanie w realizację zadania osób o niezbędnych kwalifikacjach –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0 - 3 pkt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16"/>
              </w:numPr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Atrakcyjność i oryginalność oferty –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0 - 4 pkt.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 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Max. 10</w:t>
            </w:r>
          </w:p>
        </w:tc>
      </w:tr>
      <w:tr>
        <w:trPr/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IV Udział środków finansowych własnych</w:t>
            </w:r>
          </w:p>
          <w:tbl>
            <w:tblPr>
              <w:tblW w:w="5266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5266"/>
            </w:tblGrid>
            <w:tr>
              <w:trPr/>
              <w:tc>
                <w:tcPr>
                  <w:tcW w:w="5266" w:type="dxa"/>
                  <w:tcBorders/>
                </w:tcPr>
                <w:p>
                  <w:pPr>
                    <w:pStyle w:val="Normal"/>
                    <w:numPr>
                      <w:ilvl w:val="0"/>
                      <w:numId w:val="17"/>
                    </w:numPr>
                    <w:spacing w:lineRule="auto" w:line="276"/>
                    <w:jc w:val="both"/>
                    <w:rPr>
                      <w:rFonts w:ascii="Calibri" w:hAnsi="Calibri" w:cs="Calibri" w:asciiTheme="minorHAnsi" w:cstheme="minorHAnsi" w:hAnsiTheme="minorHAnsi"/>
                      <w:sz w:val="22"/>
                      <w:szCs w:val="22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szCs w:val="22"/>
                    </w:rPr>
                    <w:t xml:space="preserve">Finansowe środki własne powyżej 65% ogółu  kosztów – </w:t>
                  </w:r>
                  <w:r>
                    <w:rPr>
                      <w:rFonts w:cs="Calibri" w:ascii="Calibri" w:hAnsi="Calibri" w:asciiTheme="minorHAnsi" w:cstheme="minorHAnsi" w:hAnsiTheme="minorHAnsi"/>
                      <w:b/>
                      <w:bCs/>
                      <w:sz w:val="22"/>
                      <w:szCs w:val="22"/>
                    </w:rPr>
                    <w:t>25 pkt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szCs w:val="22"/>
                    </w:rPr>
                    <w:t>.</w:t>
                  </w:r>
                </w:p>
                <w:p>
                  <w:pPr>
                    <w:pStyle w:val="Normal"/>
                    <w:numPr>
                      <w:ilvl w:val="0"/>
                      <w:numId w:val="17"/>
                    </w:numPr>
                    <w:spacing w:lineRule="auto" w:line="276"/>
                    <w:jc w:val="both"/>
                    <w:rPr>
                      <w:rFonts w:ascii="Calibri" w:hAnsi="Calibri" w:cs="Calibri" w:asciiTheme="minorHAnsi" w:cstheme="minorHAnsi" w:hAnsiTheme="minorHAnsi"/>
                      <w:sz w:val="22"/>
                      <w:szCs w:val="22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szCs w:val="22"/>
                    </w:rPr>
                    <w:t xml:space="preserve">Finansowe środki własne powyżej 55% ogółu  kosztów – </w:t>
                  </w:r>
                  <w:r>
                    <w:rPr>
                      <w:rFonts w:cs="Calibri" w:ascii="Calibri" w:hAnsi="Calibri" w:asciiTheme="minorHAnsi" w:cstheme="minorHAnsi" w:hAnsiTheme="minorHAnsi"/>
                      <w:b/>
                      <w:bCs/>
                      <w:sz w:val="22"/>
                      <w:szCs w:val="22"/>
                    </w:rPr>
                    <w:t>22 pkt.</w:t>
                  </w:r>
                </w:p>
                <w:p>
                  <w:pPr>
                    <w:pStyle w:val="Normal"/>
                    <w:numPr>
                      <w:ilvl w:val="0"/>
                      <w:numId w:val="17"/>
                    </w:numPr>
                    <w:spacing w:lineRule="auto" w:line="276"/>
                    <w:jc w:val="both"/>
                    <w:rPr>
                      <w:rFonts w:ascii="Calibri" w:hAnsi="Calibri" w:cs="Calibri" w:asciiTheme="minorHAnsi" w:cstheme="minorHAnsi" w:hAnsiTheme="minorHAnsi"/>
                      <w:sz w:val="22"/>
                      <w:szCs w:val="22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szCs w:val="22"/>
                    </w:rPr>
                    <w:t xml:space="preserve">Finansowe środki własne powyżej 45% ogółu  kosztów – </w:t>
                  </w:r>
                  <w:r>
                    <w:rPr>
                      <w:rFonts w:cs="Calibri" w:ascii="Calibri" w:hAnsi="Calibri" w:asciiTheme="minorHAnsi" w:cstheme="minorHAnsi" w:hAnsiTheme="minorHAnsi"/>
                      <w:b/>
                      <w:bCs/>
                      <w:sz w:val="22"/>
                      <w:szCs w:val="22"/>
                    </w:rPr>
                    <w:t>19 pkt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szCs w:val="22"/>
                    </w:rPr>
                    <w:t>.</w:t>
                  </w:r>
                </w:p>
                <w:p>
                  <w:pPr>
                    <w:pStyle w:val="Normal"/>
                    <w:numPr>
                      <w:ilvl w:val="0"/>
                      <w:numId w:val="17"/>
                    </w:numPr>
                    <w:spacing w:lineRule="auto" w:line="276"/>
                    <w:jc w:val="both"/>
                    <w:rPr>
                      <w:rFonts w:ascii="Calibri" w:hAnsi="Calibri" w:cs="Calibri" w:asciiTheme="minorHAnsi" w:cstheme="minorHAnsi" w:hAnsiTheme="minorHAnsi"/>
                      <w:sz w:val="22"/>
                      <w:szCs w:val="22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szCs w:val="22"/>
                    </w:rPr>
                    <w:t xml:space="preserve">Finansowe środki własne powyżej 35% ogółu  kosztów – </w:t>
                  </w:r>
                  <w:r>
                    <w:rPr>
                      <w:rFonts w:cs="Calibri" w:ascii="Calibri" w:hAnsi="Calibri" w:asciiTheme="minorHAnsi" w:cstheme="minorHAnsi" w:hAnsiTheme="minorHAnsi"/>
                      <w:b/>
                      <w:bCs/>
                      <w:sz w:val="22"/>
                      <w:szCs w:val="22"/>
                    </w:rPr>
                    <w:t>16 pkt.</w:t>
                  </w:r>
                </w:p>
                <w:p>
                  <w:pPr>
                    <w:pStyle w:val="Normal"/>
                    <w:numPr>
                      <w:ilvl w:val="0"/>
                      <w:numId w:val="17"/>
                    </w:numPr>
                    <w:spacing w:lineRule="auto" w:line="276"/>
                    <w:jc w:val="both"/>
                    <w:rPr>
                      <w:rFonts w:ascii="Calibri" w:hAnsi="Calibri" w:cs="Calibri" w:asciiTheme="minorHAnsi" w:cstheme="minorHAnsi" w:hAnsiTheme="minorHAnsi"/>
                      <w:sz w:val="22"/>
                      <w:szCs w:val="22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szCs w:val="22"/>
                    </w:rPr>
                    <w:t xml:space="preserve">Finansowe środki własne powyżej 25% ogółu  kosztów – </w:t>
                  </w:r>
                  <w:r>
                    <w:rPr>
                      <w:rFonts w:cs="Calibri" w:ascii="Calibri" w:hAnsi="Calibri" w:asciiTheme="minorHAnsi" w:cstheme="minorHAnsi" w:hAnsiTheme="minorHAnsi"/>
                      <w:b/>
                      <w:bCs/>
                      <w:sz w:val="22"/>
                      <w:szCs w:val="22"/>
                    </w:rPr>
                    <w:t>13 pkt.</w:t>
                  </w:r>
                </w:p>
                <w:p>
                  <w:pPr>
                    <w:pStyle w:val="Normal"/>
                    <w:numPr>
                      <w:ilvl w:val="0"/>
                      <w:numId w:val="17"/>
                    </w:numPr>
                    <w:spacing w:lineRule="auto" w:line="276"/>
                    <w:jc w:val="both"/>
                    <w:rPr>
                      <w:rFonts w:ascii="Calibri" w:hAnsi="Calibri" w:cs="Calibri" w:asciiTheme="minorHAnsi" w:cstheme="minorHAnsi" w:hAnsiTheme="minorHAnsi"/>
                      <w:sz w:val="22"/>
                      <w:szCs w:val="22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szCs w:val="22"/>
                    </w:rPr>
                    <w:t xml:space="preserve">Finansowe środki własne powyżej i równe 15% ogółu  kosztów – </w:t>
                  </w:r>
                  <w:r>
                    <w:rPr>
                      <w:rFonts w:cs="Calibri" w:ascii="Calibri" w:hAnsi="Calibri" w:asciiTheme="minorHAnsi" w:cstheme="minorHAnsi" w:hAnsiTheme="minorHAnsi"/>
                      <w:b/>
                      <w:bCs/>
                      <w:sz w:val="22"/>
                      <w:szCs w:val="22"/>
                    </w:rPr>
                    <w:t>10 pkt</w:t>
                  </w: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szCs w:val="22"/>
                    </w:rPr>
                    <w:t>.</w:t>
                  </w:r>
                </w:p>
                <w:p>
                  <w:pPr>
                    <w:pStyle w:val="Normal"/>
                    <w:numPr>
                      <w:ilvl w:val="0"/>
                      <w:numId w:val="17"/>
                    </w:numPr>
                    <w:spacing w:lineRule="auto" w:line="276"/>
                    <w:jc w:val="both"/>
                    <w:rPr>
                      <w:rFonts w:ascii="Calibri" w:hAnsi="Calibri" w:cs="Calibri" w:asciiTheme="minorHAnsi" w:cstheme="minorHAnsi" w:hAnsiTheme="minorHAnsi"/>
                      <w:sz w:val="22"/>
                      <w:szCs w:val="22"/>
                    </w:rPr>
                  </w:pPr>
                  <w:r>
                    <w:rPr>
                      <w:rFonts w:cs="Calibri" w:ascii="Calibri" w:hAnsi="Calibri" w:asciiTheme="minorHAnsi" w:cstheme="minorHAnsi" w:hAnsiTheme="minorHAnsi"/>
                      <w:sz w:val="22"/>
                      <w:szCs w:val="22"/>
                      <w:shd w:fill="FFFFFF" w:val="clear"/>
                    </w:rPr>
                    <w:t>Finansowe środki własne poniżej 15% -</w:t>
                  </w:r>
                  <w:r>
                    <w:rPr>
                      <w:rFonts w:cs="Calibri" w:ascii="Calibri" w:hAnsi="Calibri" w:asciiTheme="minorHAnsi" w:cstheme="minorHAnsi" w:hAnsiTheme="minorHAnsi"/>
                      <w:b/>
                      <w:bCs/>
                      <w:sz w:val="22"/>
                      <w:szCs w:val="22"/>
                      <w:shd w:fill="FFFFFF" w:val="clear"/>
                    </w:rPr>
                    <w:t xml:space="preserve"> 0 pkt.</w:t>
                  </w:r>
                </w:p>
              </w:tc>
            </w:tr>
          </w:tbl>
          <w:p>
            <w:pPr>
              <w:pStyle w:val="Normal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 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Max. 25</w:t>
            </w:r>
          </w:p>
        </w:tc>
      </w:tr>
      <w:tr>
        <w:trPr/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V Pobieranie/niepobieranie opłat od adresatów zadania</w:t>
            </w:r>
          </w:p>
          <w:p>
            <w:pPr>
              <w:pStyle w:val="Normal"/>
              <w:numPr>
                <w:ilvl w:val="0"/>
                <w:numId w:val="18"/>
              </w:numPr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Pobieranie opłat, które przekraczają 5% kosztów całości zadania –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0 pkt.</w:t>
            </w:r>
          </w:p>
          <w:p>
            <w:pPr>
              <w:pStyle w:val="Normal"/>
              <w:numPr>
                <w:ilvl w:val="0"/>
                <w:numId w:val="18"/>
              </w:numPr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Pobieranie opłat symbolicznych, które nie przekraczają 5% kosztów całości zadania –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3 pkt.</w:t>
            </w:r>
          </w:p>
          <w:p>
            <w:pPr>
              <w:pStyle w:val="Normal"/>
              <w:numPr>
                <w:ilvl w:val="0"/>
                <w:numId w:val="18"/>
              </w:numPr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Niepobieranie opłat –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5 pkt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 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Max. 5</w:t>
            </w:r>
          </w:p>
        </w:tc>
      </w:tr>
      <w:tr>
        <w:trPr>
          <w:trHeight w:val="1116" w:hRule="atLeast"/>
        </w:trPr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VI Ocena realizacji zadań zleconych w latach poprzednich</w:t>
            </w:r>
          </w:p>
          <w:p>
            <w:pPr>
              <w:pStyle w:val="Normal"/>
              <w:numPr>
                <w:ilvl w:val="0"/>
                <w:numId w:val="19"/>
              </w:numPr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Rzetelność –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0 -5 pkt.</w:t>
            </w:r>
          </w:p>
          <w:p>
            <w:pPr>
              <w:pStyle w:val="Normal"/>
              <w:numPr>
                <w:ilvl w:val="0"/>
                <w:numId w:val="19"/>
              </w:numPr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Terminowość –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0 - 5 pkt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19"/>
              </w:numPr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Sposób rozliczenia otrzymanych środków finansowych –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0 -5pkt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 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Max. 15</w:t>
            </w:r>
          </w:p>
        </w:tc>
      </w:tr>
    </w:tbl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istParagraph"/>
        <w:numPr>
          <w:ilvl w:val="0"/>
          <w:numId w:val="11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Uzyskanie mniej niż 50% możliwych do uzyskania punktów nie kwalifikuje oferty do dalszego rozpatrzenia.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 xml:space="preserve">Informacja o wysokości kosztów związanych z realizacją zadań publicznych </w:t>
        <w:br/>
        <w:t>w 2025 r.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Dotacje przekazane przez Gminę Miejską Kamienna Góra na realizację zadań publicznych z obszaru profilaktyki i rozwiązywania problemów uzależnień w roku 2025:</w:t>
      </w:r>
    </w:p>
    <w:p>
      <w:pPr>
        <w:pStyle w:val="Normal"/>
        <w:spacing w:lineRule="auto" w:line="276"/>
        <w:jc w:val="both"/>
        <w:rPr>
          <w:rFonts w:ascii="Calibri" w:hAnsi="Calibri" w:eastAsia="Calibri" w:cs="Calibri" w:asciiTheme="minorHAnsi" w:cstheme="minorHAnsi" w:hAnsiTheme="minorHAnsi"/>
          <w:b/>
          <w:bCs/>
          <w:color w:val="auto"/>
          <w:sz w:val="22"/>
          <w:szCs w:val="22"/>
          <w:lang w:eastAsia="en-US"/>
        </w:rPr>
      </w:pPr>
      <w:r>
        <w:rPr>
          <w:rFonts w:eastAsia="Calibri" w:cs="Calibri" w:cstheme="minorHAnsi" w:ascii="Calibri" w:hAnsi="Calibri"/>
          <w:b/>
          <w:bCs/>
          <w:color w:val="auto"/>
          <w:sz w:val="22"/>
          <w:szCs w:val="22"/>
          <w:lang w:eastAsia="en-US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Calibri" w:cstheme="minorHAnsi"/>
          <w:i/>
          <w:iCs/>
          <w:sz w:val="24"/>
          <w:szCs w:val="24"/>
        </w:rPr>
        <w:t>1.</w:t>
      </w:r>
      <w:r>
        <w:rPr>
          <w:rFonts w:cs="Calibri" w:cstheme="minorHAnsi"/>
          <w:b/>
          <w:bCs/>
          <w:i/>
          <w:iCs/>
          <w:sz w:val="24"/>
          <w:szCs w:val="24"/>
        </w:rPr>
        <w:t>Polskie Towarzystwo Schronisk Młodzieżowych</w:t>
      </w:r>
      <w:r>
        <w:rPr>
          <w:rFonts w:cs="Calibri" w:cstheme="minorHAnsi"/>
          <w:i/>
          <w:iCs/>
          <w:sz w:val="24"/>
          <w:szCs w:val="24"/>
        </w:rPr>
        <w:t xml:space="preserve"> na realizację zadania publicznego: Cykl wycieczek edukacyjnych do ośrodków edukacji oraz wycieczek popularnych rozwijających zainteresowania krajoznawczo-przyrodnicze młodych mieszkańców Kamiennej Góry. </w:t>
      </w:r>
      <w:r>
        <w:rPr>
          <w:rFonts w:cs="Calibri" w:cstheme="minorHAnsi"/>
          <w:b/>
          <w:bCs/>
          <w:i/>
          <w:iCs/>
          <w:sz w:val="24"/>
          <w:szCs w:val="24"/>
        </w:rPr>
        <w:t>Przyznana kwota dotacji 8 000 zł.</w:t>
      </w:r>
      <w:r>
        <w:rPr>
          <w:rFonts w:cs="Calibri" w:cstheme="minorHAnsi"/>
          <w:i/>
          <w:iCs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Calibri" w:cstheme="minorHAnsi"/>
          <w:i/>
          <w:iCs/>
          <w:sz w:val="24"/>
          <w:szCs w:val="24"/>
        </w:rPr>
        <w:t xml:space="preserve">2. </w:t>
      </w:r>
      <w:r>
        <w:rPr>
          <w:rFonts w:cs="Calibri" w:cstheme="minorHAnsi"/>
          <w:b/>
          <w:bCs/>
          <w:i/>
          <w:iCs/>
          <w:sz w:val="24"/>
          <w:szCs w:val="24"/>
        </w:rPr>
        <w:t xml:space="preserve">Fundacja LEO </w:t>
      </w:r>
      <w:r>
        <w:rPr>
          <w:rFonts w:cs="Calibri" w:cstheme="minorHAnsi"/>
          <w:b w:val="false"/>
          <w:bCs w:val="false"/>
          <w:i/>
          <w:iCs/>
          <w:sz w:val="24"/>
          <w:szCs w:val="24"/>
        </w:rPr>
        <w:t>na realizację zadania publicznego:Letni wypoczynek dla dzieci pod hasłem „ I TY JESTEŚ SUPER BOHATEREM – ODKRYJ SWOJĄ MOC”,</w:t>
      </w:r>
    </w:p>
    <w:p>
      <w:pPr>
        <w:pStyle w:val="Normal"/>
        <w:spacing w:lineRule="auto" w:line="276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Calibri" w:cstheme="minorHAnsi"/>
          <w:b/>
          <w:bCs/>
          <w:i/>
          <w:iCs/>
          <w:sz w:val="24"/>
          <w:szCs w:val="24"/>
        </w:rPr>
        <w:t>Przyznana kwota dotacji 15 000 zł.</w:t>
      </w:r>
      <w:r>
        <w:rPr>
          <w:rFonts w:cs="Calibri" w:cstheme="minorHAnsi"/>
          <w:i/>
          <w:iCs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Calibri" w:cstheme="minorHAnsi"/>
          <w:b/>
          <w:bCs/>
          <w:i/>
          <w:iCs/>
          <w:sz w:val="24"/>
          <w:szCs w:val="24"/>
        </w:rPr>
        <w:t xml:space="preserve">3. Fundacja LEO </w:t>
      </w:r>
      <w:r>
        <w:rPr>
          <w:rFonts w:cs="Calibri" w:cstheme="minorHAnsi"/>
          <w:b w:val="false"/>
          <w:bCs w:val="false"/>
          <w:i/>
          <w:iCs/>
          <w:sz w:val="24"/>
          <w:szCs w:val="24"/>
        </w:rPr>
        <w:t>na realizację zadania publicznego:Cykl warsztatów i festyn AKTYWNA RODZINA”,</w:t>
      </w:r>
    </w:p>
    <w:p>
      <w:pPr>
        <w:pStyle w:val="Normal"/>
        <w:spacing w:lineRule="auto" w:line="276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Calibri" w:cstheme="minorHAnsi"/>
          <w:b/>
          <w:bCs/>
          <w:i/>
          <w:iCs/>
          <w:sz w:val="24"/>
          <w:szCs w:val="24"/>
        </w:rPr>
        <w:t>Przyznana kwota dotacji 9 000 zł.</w:t>
      </w:r>
      <w:r>
        <w:rPr>
          <w:rFonts w:cs="Calibri" w:cstheme="minorHAnsi"/>
          <w:i/>
          <w:iCs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Calibri" w:cstheme="minorHAnsi"/>
          <w:i/>
          <w:iCs/>
          <w:sz w:val="24"/>
          <w:szCs w:val="24"/>
        </w:rPr>
        <w:t xml:space="preserve">4. </w:t>
      </w:r>
      <w:r>
        <w:rPr>
          <w:rFonts w:cs="Calibri" w:cstheme="minorHAnsi"/>
          <w:b/>
          <w:bCs/>
          <w:i/>
          <w:iCs/>
          <w:sz w:val="24"/>
          <w:szCs w:val="24"/>
        </w:rPr>
        <w:t>Fundacja Centrum Działań Profilaktycznych</w:t>
      </w:r>
      <w:r>
        <w:rPr>
          <w:rFonts w:cs="Calibri" w:cstheme="minorHAnsi"/>
          <w:i/>
          <w:iCs/>
          <w:sz w:val="24"/>
          <w:szCs w:val="24"/>
        </w:rPr>
        <w:t xml:space="preserve"> na realizację zadania publicznego: „Młodzieżowi Liderzy Kamiennej Góry- VI EDYCJA”,</w:t>
      </w:r>
    </w:p>
    <w:p>
      <w:pPr>
        <w:pStyle w:val="Normal"/>
        <w:spacing w:lineRule="auto" w:line="276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Calibri" w:cstheme="minorHAnsi"/>
          <w:b/>
          <w:bCs/>
          <w:i/>
          <w:iCs/>
          <w:sz w:val="24"/>
          <w:szCs w:val="24"/>
        </w:rPr>
        <w:t>Przyznana kwota dotacji 15 000 zł.</w:t>
      </w:r>
      <w:r>
        <w:rPr>
          <w:rFonts w:cs="Calibri" w:cstheme="minorHAnsi"/>
          <w:i/>
          <w:iCs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Calibri" w:cstheme="minorHAnsi"/>
          <w:i/>
          <w:iCs/>
          <w:sz w:val="24"/>
          <w:szCs w:val="24"/>
        </w:rPr>
        <w:t xml:space="preserve">5. </w:t>
      </w:r>
      <w:r>
        <w:rPr>
          <w:rFonts w:cs="Calibri" w:cstheme="minorHAnsi"/>
          <w:b/>
          <w:bCs/>
          <w:i/>
          <w:iCs/>
          <w:sz w:val="24"/>
          <w:szCs w:val="24"/>
        </w:rPr>
        <w:t>Caritas Diecezji Legnickiej</w:t>
      </w:r>
      <w:r>
        <w:rPr>
          <w:rFonts w:cs="Calibri" w:cstheme="minorHAnsi"/>
          <w:i/>
          <w:iCs/>
          <w:sz w:val="24"/>
          <w:szCs w:val="24"/>
        </w:rPr>
        <w:t xml:space="preserve"> na realizację zadania publicznego Wypoczynek letni dla dzieci i młodzieży pod hasłem "MORSKA AKADEMIA PANA KLEKSA”,</w:t>
      </w:r>
    </w:p>
    <w:p>
      <w:pPr>
        <w:pStyle w:val="Normal"/>
        <w:spacing w:lineRule="auto" w:line="276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Calibri" w:cstheme="minorHAnsi"/>
          <w:b/>
          <w:bCs/>
          <w:i/>
          <w:iCs/>
          <w:sz w:val="24"/>
          <w:szCs w:val="24"/>
        </w:rPr>
        <w:t>Przyznana kwota dotacji 75 000 zł.</w:t>
      </w:r>
      <w:r>
        <w:rPr>
          <w:rFonts w:cs="Calibri" w:cstheme="minorHAnsi"/>
          <w:i/>
          <w:iCs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Postanowienia końcowe</w:t>
      </w:r>
    </w:p>
    <w:p>
      <w:pPr>
        <w:pStyle w:val="ListParagraph"/>
        <w:spacing w:lineRule="auto" w:line="276"/>
        <w:jc w:val="both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ListParagraph"/>
        <w:numPr>
          <w:ilvl w:val="0"/>
          <w:numId w:val="12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Szczegółowe i ostateczne warunki realizacji, finansowania i rozliczania zadania reguluje umowa pomiędzy Gminą Miejską Kamienna Góra a wnioskodawcą.</w:t>
      </w:r>
    </w:p>
    <w:p>
      <w:pPr>
        <w:pStyle w:val="ListParagraph"/>
        <w:numPr>
          <w:ilvl w:val="0"/>
          <w:numId w:val="12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Wyłoniony oferent jest zobowiązany zamieszczać we wszystkich drukach związanych z realizacją zadania (plakatach, zaproszeniach, regulaminach, komunikatach, itp.), a także w ogłoszeniach prasowych, reklamach, wykazach sponsorów, itp., informacji o tym, że zadanie jest dotowane przez Gminę Miejską Kamienna Góra. Informacje takie winny być również podawane do publicznej wiadomości w trakcie realizacji zadania. Dodatkowo oferent zobowiązany jest do zapraszania przedstawicieli władz miasta na wszystkie ważniejsze wydarzenia (turnieje, uroczystości, zawody sportowe itp.) organizowane w ramach zadania publicznego, na które została przyznana dotacja.</w:t>
      </w:r>
    </w:p>
    <w:p>
      <w:pPr>
        <w:pStyle w:val="Teksttreci1"/>
        <w:widowControl w:val="false"/>
        <w:numPr>
          <w:ilvl w:val="0"/>
          <w:numId w:val="12"/>
        </w:numPr>
        <w:shd w:val="clear" w:color="auto" w:fill="auto"/>
        <w:tabs>
          <w:tab w:val="clear" w:pos="720"/>
          <w:tab w:val="left" w:pos="334" w:leader="none"/>
        </w:tabs>
        <w:bidi w:val="0"/>
        <w:spacing w:before="0" w:after="0"/>
        <w:ind w:hanging="380" w:left="380" w:right="0"/>
        <w:jc w:val="both"/>
        <w:rPr>
          <w:color w:val="000000"/>
        </w:rPr>
      </w:pPr>
      <w:r>
        <w:rPr>
          <w:rStyle w:val="Teksttreci"/>
          <w:color w:val="000000"/>
        </w:rPr>
        <w:t>W przypadku realizacji zadania z udziałem małoletnich wyłoniony oferent zobowiązany jest do stosowania ustawy z dnia 13 maja 2016 r. o przeciwdziałaniu zagrożeniom przestępczością na tle seksualnym i ochronie małoletnich. (t.j. Dz. U. Z 2024 r., poz. 1802 z późn. zm.).</w:t>
      </w:r>
    </w:p>
    <w:p>
      <w:pPr>
        <w:pStyle w:val="ListParagraph"/>
        <w:numPr>
          <w:ilvl w:val="0"/>
          <w:numId w:val="12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W przypadku rezygnacji podmiotu lub odmowy podpisania umowy, zarezerwowane środki finansowe mogą być przeznaczone na ogłoszenie nowego konkursu lub na realizację zadania </w:t>
        <w:br/>
        <w:t>w innej formie.</w:t>
      </w:r>
    </w:p>
    <w:p>
      <w:pPr>
        <w:pStyle w:val="ListParagraph"/>
        <w:numPr>
          <w:ilvl w:val="0"/>
          <w:numId w:val="12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Podstawą roszczeń finansowych w stosunku do Gminy Miejskiej Kamienna Góra może być wyłącznie zawarta umowa.</w:t>
      </w:r>
    </w:p>
    <w:p>
      <w:pPr>
        <w:pStyle w:val="ListParagraph"/>
        <w:numPr>
          <w:ilvl w:val="0"/>
          <w:numId w:val="12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Szczegółowe informacje udzielane są przez:</w:t>
      </w:r>
    </w:p>
    <w:p>
      <w:pPr>
        <w:pStyle w:val="Normal"/>
        <w:keepNext w:val="false"/>
        <w:keepLines w:val="false"/>
        <w:widowControl w:val="false"/>
        <w:shd w:val="clear" w:color="auto" w:fill="auto"/>
        <w:bidi w:val="0"/>
        <w:spacing w:before="0" w:after="600"/>
        <w:ind w:hanging="0" w:left="380" w:right="0"/>
        <w:jc w:val="both"/>
        <w:rPr/>
      </w:pPr>
      <w:r>
        <w:rPr>
          <w:rStyle w:val="Teksttreci"/>
          <w:b/>
          <w:bCs/>
          <w:color w:val="000000"/>
          <w:sz w:val="24"/>
          <w:szCs w:val="24"/>
        </w:rPr>
        <w:t>Wydział Zarządzania Kryzysowego i Polityki Społecznej Urzędu Miasta Kamienna Góra, plac Grunwaldzki 1, pok. 304,  tel. 75 645 51 36 lub 75 645 51 26.</w:t>
      </w:r>
    </w:p>
    <w:p>
      <w:pPr>
        <w:pStyle w:val="Teksttreci1"/>
        <w:widowControl w:val="false"/>
        <w:shd w:val="clear" w:color="auto" w:fill="auto"/>
        <w:bidi w:val="0"/>
        <w:spacing w:before="0" w:after="0"/>
        <w:ind w:hanging="0" w:left="380" w:right="0"/>
        <w:jc w:val="both"/>
        <w:rPr/>
      </w:pPr>
      <w:r>
        <w:rPr>
          <w:rStyle w:val="Teksttreci"/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  <w:tab/>
        <w:tab/>
        <w:t xml:space="preserve">Zastępca </w:t>
      </w:r>
      <w:r>
        <w:rPr>
          <w:rStyle w:val="Teksttreci"/>
          <w:rFonts w:ascii="Times New Roman" w:hAnsi="Times New Roman"/>
          <w:b/>
          <w:bCs/>
          <w:i/>
          <w:iCs/>
          <w:color w:val="000000"/>
          <w:sz w:val="24"/>
          <w:szCs w:val="24"/>
        </w:rPr>
        <w:t>Burmistrza Miasta Kamienna Góra</w:t>
      </w:r>
    </w:p>
    <w:p>
      <w:pPr>
        <w:pStyle w:val="Teksttreci1"/>
        <w:widowControl w:val="false"/>
        <w:shd w:val="clear" w:color="auto" w:fill="auto"/>
        <w:bidi w:val="0"/>
        <w:spacing w:before="0" w:after="0"/>
        <w:ind w:hanging="0" w:left="380" w:right="0"/>
        <w:jc w:val="both"/>
        <w:rPr/>
      </w:pPr>
      <w:r>
        <w:rPr>
          <w:rStyle w:val="Teksttreci"/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  <w:tab/>
        <w:tab/>
        <w:tab/>
        <w:tab/>
        <w:tab/>
        <w:tab/>
        <w:t>/-/ Paweł Fryc</w:t>
      </w:r>
    </w:p>
    <w:sectPr>
      <w:footerReference w:type="even" r:id="rId6"/>
      <w:footerReference w:type="default" r:id="rId7"/>
      <w:footerReference w:type="first" r:id="rId8"/>
      <w:type w:val="nextPage"/>
      <w:pgSz w:w="11906" w:h="16838"/>
      <w:pgMar w:left="1418" w:right="1416" w:gutter="0" w:header="0" w:top="720" w:footer="709" w:bottom="766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Tahoma">
    <w:charset w:val="ee"/>
    <w:family w:val="swiss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rFonts w:ascii="Calibri" w:hAnsi="Calibri" w:cs="Calibri"/>
        <w:sz w:val="22"/>
      </w:rPr>
    </w:pPr>
    <w:r>
      <w:rPr>
        <w:rFonts w:cs="Calibri" w:ascii="Calibri" w:hAnsi="Calibri"/>
        <w:sz w:val="22"/>
      </w:rPr>
      <w:fldChar w:fldCharType="begin"/>
    </w:r>
    <w:r>
      <w:rPr>
        <w:sz w:val="22"/>
        <w:rFonts w:cs="Calibri" w:ascii="Calibri" w:hAnsi="Calibri"/>
      </w:rPr>
      <w:instrText xml:space="preserve"> PAGE </w:instrText>
    </w:r>
    <w:r>
      <w:rPr>
        <w:sz w:val="22"/>
        <w:rFonts w:cs="Calibri" w:ascii="Calibri" w:hAnsi="Calibri"/>
      </w:rPr>
      <w:fldChar w:fldCharType="separate"/>
    </w:r>
    <w:r>
      <w:rPr>
        <w:sz w:val="22"/>
        <w:rFonts w:cs="Calibri" w:ascii="Calibri" w:hAnsi="Calibri"/>
      </w:rPr>
      <w:t>8</w:t>
    </w:r>
    <w:r>
      <w:rPr>
        <w:sz w:val="22"/>
        <w:rFonts w:cs="Calibri" w:ascii="Calibri" w:hAnsi="Calibri"/>
      </w:rPr>
      <w:fldChar w:fldCharType="end"/>
    </w:r>
  </w:p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rFonts w:ascii="Calibri" w:hAnsi="Calibri" w:cs="Calibri"/>
        <w:sz w:val="22"/>
      </w:rPr>
    </w:pPr>
    <w:r>
      <w:rPr>
        <w:rFonts w:cs="Calibri" w:ascii="Calibri" w:hAnsi="Calibri"/>
        <w:sz w:val="22"/>
      </w:rPr>
      <w:fldChar w:fldCharType="begin"/>
    </w:r>
    <w:r>
      <w:rPr>
        <w:sz w:val="22"/>
        <w:rFonts w:cs="Calibri" w:ascii="Calibri" w:hAnsi="Calibri"/>
      </w:rPr>
      <w:instrText xml:space="preserve"> PAGE </w:instrText>
    </w:r>
    <w:r>
      <w:rPr>
        <w:sz w:val="22"/>
        <w:rFonts w:cs="Calibri" w:ascii="Calibri" w:hAnsi="Calibri"/>
      </w:rPr>
      <w:fldChar w:fldCharType="separate"/>
    </w:r>
    <w:r>
      <w:rPr>
        <w:sz w:val="22"/>
        <w:rFonts w:cs="Calibri" w:ascii="Calibri" w:hAnsi="Calibri"/>
      </w:rPr>
      <w:t>8</w:t>
    </w:r>
    <w:r>
      <w:rPr>
        <w:sz w:val="22"/>
        <w:rFonts w:cs="Calibri" w:ascii="Calibri" w:hAnsi="Calibri"/>
      </w:rPr>
      <w:fldChar w:fldCharType="end"/>
    </w:r>
  </w:p>
  <w:p>
    <w:pPr>
      <w:pStyle w:val="Normal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72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4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46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1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0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2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4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6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8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0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25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b w:val="false"/>
        <w:szCs w:val="22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20"/>
  </w:num>
  <w:num w:numId="31">
    <w:abstractNumId w:val="20"/>
  </w:num>
  <w:num w:numId="32">
    <w:abstractNumId w:val="20"/>
  </w:num>
  <w:num w:numId="33">
    <w:abstractNumId w:val="20"/>
  </w:num>
  <w:num w:numId="34">
    <w:abstractNumId w:val="20"/>
  </w:num>
  <w:num w:numId="35">
    <w:abstractNumId w:val="20"/>
  </w:num>
  <w:num w:numId="36">
    <w:abstractNumId w:val="20"/>
  </w:num>
  <w:num w:numId="37">
    <w:abstractNumId w:val="20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b6c5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qFormat/>
    <w:rsid w:val="00ef7b96"/>
    <w:pPr>
      <w:spacing w:before="240" w:after="0"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hAnsi="Arial" w:eastAsia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hAnsi="Arial" w:eastAsia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tabs>
        <w:tab w:val="clear" w:pos="720"/>
        <w:tab w:val="left" w:pos="283" w:leader="none"/>
      </w:tabs>
      <w:spacing w:lineRule="auto" w:line="360"/>
      <w:ind w:hanging="283" w:left="283"/>
      <w:jc w:val="right"/>
      <w:outlineLvl w:val="5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dolnychuser">
    <w:name w:val="Znaki przypisów dolnych (user)"/>
    <w:qFormat/>
    <w:rsid w:val="00805bce"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sid w:val="00720d5f"/>
    <w:rPr>
      <w:color w:val="0000FF"/>
      <w:u w:val="single"/>
    </w:rPr>
  </w:style>
  <w:style w:type="character" w:styleId="TekstprzypisukocowegoZnak" w:customStyle="1">
    <w:name w:val="Tekst przypisu końcowego Znak"/>
    <w:qFormat/>
    <w:rsid w:val="00720d5f"/>
    <w:rPr>
      <w:color w:val="000000"/>
    </w:rPr>
  </w:style>
  <w:style w:type="character" w:styleId="Znakiprzypiswkocowychuser">
    <w:name w:val="Znaki przypisów końcowych (user)"/>
    <w:qFormat/>
    <w:rsid w:val="00720d5f"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kstpodstawowyZnak" w:customStyle="1">
    <w:name w:val="Tekst podstawowy Znak"/>
    <w:qFormat/>
    <w:rsid w:val="001e0ab6"/>
    <w:rPr>
      <w:color w:val="000000"/>
      <w:sz w:val="24"/>
      <w:szCs w:val="24"/>
    </w:rPr>
  </w:style>
  <w:style w:type="character" w:styleId="NagwekZnak" w:customStyle="1">
    <w:name w:val="Nagłówek Znak"/>
    <w:qFormat/>
    <w:rsid w:val="00cf3940"/>
    <w:rPr>
      <w:color w:val="000000"/>
      <w:sz w:val="24"/>
      <w:szCs w:val="24"/>
    </w:rPr>
  </w:style>
  <w:style w:type="character" w:styleId="StopkaZnak" w:customStyle="1">
    <w:name w:val="Stopka Znak"/>
    <w:qFormat/>
    <w:rsid w:val="00cf3940"/>
    <w:rPr>
      <w:color w:val="000000"/>
      <w:sz w:val="24"/>
      <w:szCs w:val="24"/>
    </w:rPr>
  </w:style>
  <w:style w:type="character" w:styleId="TekstdymkaZnak" w:customStyle="1">
    <w:name w:val="Tekst dymka Znak"/>
    <w:link w:val="BalloonText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qFormat/>
    <w:rsid w:val="00b46598"/>
    <w:rPr>
      <w:sz w:val="16"/>
      <w:szCs w:val="16"/>
    </w:rPr>
  </w:style>
  <w:style w:type="character" w:styleId="TekstkomentarzaZnak" w:customStyle="1">
    <w:name w:val="Tekst komentarza Znak"/>
    <w:link w:val="CommentText"/>
    <w:qFormat/>
    <w:rsid w:val="00b46598"/>
    <w:rPr>
      <w:color w:val="000000"/>
    </w:rPr>
  </w:style>
  <w:style w:type="character" w:styleId="TematkomentarzaZnak" w:customStyle="1">
    <w:name w:val="Temat komentarza Znak"/>
    <w:link w:val="annotationsubject"/>
    <w:qFormat/>
    <w:rsid w:val="00b46598"/>
    <w:rPr>
      <w:b/>
      <w:bCs/>
      <w:color w:val="000000"/>
    </w:rPr>
  </w:style>
  <w:style w:type="character" w:styleId="TekstprzypisudolnegoZnak" w:customStyle="1">
    <w:name w:val="Tekst przypisu dolnego Znak"/>
    <w:qFormat/>
    <w:rsid w:val="003f4811"/>
    <w:rPr>
      <w:color w:val="000000"/>
    </w:rPr>
  </w:style>
  <w:style w:type="character" w:styleId="luchili" w:customStyle="1">
    <w:name w:val="luc_hili"/>
    <w:basedOn w:val="DefaultParagraphFont"/>
    <w:qFormat/>
    <w:rsid w:val="004836ac"/>
    <w:rPr/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641c1f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074bb8"/>
    <w:rPr>
      <w:b/>
      <w:bCs/>
    </w:rPr>
  </w:style>
  <w:style w:type="character" w:styleId="Teksttreci">
    <w:name w:val="Tekst treści_"/>
    <w:basedOn w:val="DefaultParagraphFont"/>
    <w:qFormat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rsid w:val="001e0ab6"/>
    <w:pPr>
      <w:spacing w:before="0" w:after="120"/>
    </w:pPr>
    <w:rPr/>
  </w:style>
  <w:style w:type="paragraph" w:styleId="List">
    <w:name w:val="List"/>
    <w:basedOn w:val="Normal"/>
    <w:rsid w:val="001e0ab6"/>
    <w:pPr>
      <w:spacing w:before="0" w:after="0"/>
      <w:ind w:hanging="283" w:left="283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qFormat/>
    <w:rsid w:val="00ef7b96"/>
    <w:pPr>
      <w:spacing w:before="240" w:after="60"/>
      <w:jc w:val="center"/>
    </w:pPr>
    <w:rPr>
      <w:rFonts w:ascii="Arial" w:hAnsi="Arial" w:eastAsia="Arial" w:cs="Arial"/>
      <w:b/>
      <w:bCs/>
      <w:sz w:val="32"/>
      <w:szCs w:val="32"/>
    </w:rPr>
  </w:style>
  <w:style w:type="paragraph" w:styleId="Subtitle">
    <w:name w:val="Subtitle"/>
    <w:basedOn w:val="Normal"/>
    <w:qFormat/>
    <w:rsid w:val="00ef7b96"/>
    <w:pPr>
      <w:spacing w:before="0" w:after="60"/>
      <w:jc w:val="center"/>
    </w:pPr>
    <w:rPr>
      <w:rFonts w:ascii="Arial" w:hAnsi="Arial" w:eastAsia="Arial" w:cs="Arial"/>
    </w:rPr>
  </w:style>
  <w:style w:type="paragraph" w:styleId="FootnoteText">
    <w:name w:val="footnote text"/>
    <w:basedOn w:val="Normal"/>
    <w:link w:val="TekstprzypisudolnegoZnak"/>
    <w:rsid w:val="00805bce"/>
    <w:pPr/>
    <w:rPr>
      <w:sz w:val="20"/>
      <w:szCs w:val="20"/>
    </w:rPr>
  </w:style>
  <w:style w:type="paragraph" w:styleId="EndnoteText">
    <w:name w:val="endnote text"/>
    <w:basedOn w:val="Normal"/>
    <w:link w:val="TekstprzypisukocowegoZnak"/>
    <w:rsid w:val="00720d5f"/>
    <w:pPr/>
    <w:rPr>
      <w:sz w:val="20"/>
      <w:szCs w:val="20"/>
    </w:rPr>
  </w:style>
  <w:style w:type="paragraph" w:styleId="List2">
    <w:name w:val="List 2"/>
    <w:basedOn w:val="Normal"/>
    <w:qFormat/>
    <w:rsid w:val="001e0ab6"/>
    <w:pPr>
      <w:spacing w:before="0" w:after="0"/>
      <w:ind w:hanging="283" w:left="566"/>
      <w:contextualSpacing/>
    </w:pPr>
    <w:rPr/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rsid w:val="00cf394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rsid w:val="00cf394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qFormat/>
    <w:rsid w:val="00e405aa"/>
    <w:pPr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TekstkomentarzaZnak"/>
    <w:rsid w:val="00b46598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qFormat/>
    <w:rsid w:val="00b46598"/>
    <w:pPr/>
    <w:rPr>
      <w:b/>
      <w:bCs/>
    </w:rPr>
  </w:style>
  <w:style w:type="paragraph" w:styleId="Revision">
    <w:name w:val="Revision"/>
    <w:uiPriority w:val="99"/>
    <w:semiHidden/>
    <w:qFormat/>
    <w:rsid w:val="002b692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df5a80"/>
    <w:pPr>
      <w:spacing w:before="0" w:after="0"/>
      <w:ind w:left="720"/>
      <w:contextualSpacing/>
    </w:pPr>
    <w:rPr/>
  </w:style>
  <w:style w:type="paragraph" w:styleId="Akapitzlist1" w:customStyle="1">
    <w:name w:val="Akapit z listą1"/>
    <w:basedOn w:val="Normal"/>
    <w:qFormat/>
    <w:rsid w:val="00915d89"/>
    <w:pPr>
      <w:spacing w:lineRule="auto" w:line="276" w:before="0" w:after="200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074bb8"/>
    <w:pPr>
      <w:spacing w:beforeAutospacing="1" w:afterAutospacing="1"/>
    </w:pPr>
    <w:rPr>
      <w:color w:val="auto"/>
    </w:rPr>
  </w:style>
  <w:style w:type="paragraph" w:styleId="Default" w:customStyle="1">
    <w:name w:val="Default"/>
    <w:qFormat/>
    <w:rsid w:val="00d9260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metryka" w:customStyle="1">
    <w:name w:val="metryka"/>
    <w:basedOn w:val="Normal"/>
    <w:qFormat/>
    <w:rsid w:val="00387f5e"/>
    <w:pPr>
      <w:spacing w:beforeAutospacing="1" w:afterAutospacing="1"/>
    </w:pPr>
    <w:rPr>
      <w:color w:val="auto"/>
    </w:rPr>
  </w:style>
  <w:style w:type="paragraph" w:styleId="Teksttreci1">
    <w:name w:val="Tekst treści"/>
    <w:basedOn w:val="Normal"/>
    <w:qFormat/>
    <w:pPr>
      <w:widowControl w:val="false"/>
      <w:shd w:val="clear" w:color="auto" w:fill="auto"/>
      <w:spacing w:lineRule="auto" w:line="276" w:before="0" w:after="280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Nagwek1">
    <w:name w:val="Nagłówek #1"/>
    <w:basedOn w:val="Normal"/>
    <w:qFormat/>
    <w:pPr>
      <w:widowControl w:val="false"/>
      <w:shd w:val="clear" w:color="auto" w:fill="auto"/>
      <w:spacing w:lineRule="auto" w:line="271" w:before="0" w:after="280"/>
      <w:ind w:firstLine="380" w:left="0" w:right="0"/>
      <w:outlineLvl w:val="0"/>
    </w:pPr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752b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sap.sejm.gov.pl/isap.nsf/DocDetails.xsp?id=WDU20250001153" TargetMode="External"/><Relationship Id="rId3" Type="http://schemas.openxmlformats.org/officeDocument/2006/relationships/hyperlink" Target="https://isap.sejm.gov.pl/isap.nsf/DocDetails.xsp?id=WDU20250001338" TargetMode="External"/><Relationship Id="rId4" Type="http://schemas.openxmlformats.org/officeDocument/2006/relationships/hyperlink" Target="https://isap.sejm.gov.pl/isap.nsf/DocDetails.xsp?id=WDU20250001153" TargetMode="External"/><Relationship Id="rId5" Type="http://schemas.openxmlformats.org/officeDocument/2006/relationships/hyperlink" Target="https://isap.sejm.gov.pl/isap.nsf/DocDetails.xsp?id=WDU20250001153" TargetMode="Externa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B7EAD-C657-4245-8ACE-50AB35E5C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LibreOffice/25.2.7.2$Windows_X86_64 LibreOffice_project/5cbfd1ab6520636bb5f7b99185aa69bd7456825d</Application>
  <AppVersion>15.0000</AppVersion>
  <Pages>8</Pages>
  <Words>2507</Words>
  <Characters>15647</Characters>
  <CharactersWithSpaces>17982</CharactersWithSpaces>
  <Paragraphs>173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2024-04-11T10:29:00Z</dcterms:created>
  <dc:creator>Kancelaria Prezydenta RP</dc:creator>
  <dc:description/>
  <dc:language>pl-PL</dc:language>
  <cp:lastModifiedBy/>
  <cp:lastPrinted>2025-02-07T14:08:00Z</cp:lastPrinted>
  <dcterms:modified xsi:type="dcterms:W3CDTF">2026-03-03T10:49:40Z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