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B582" w14:textId="77777777" w:rsidR="004534F9" w:rsidRDefault="004534F9" w:rsidP="004534F9">
      <w:pPr>
        <w:pStyle w:val="Nagwek"/>
        <w:pageBreakBefore/>
        <w:rPr>
          <w:rFonts w:eastAsia="Calibri" w:cs="Tahoma"/>
          <w:b/>
          <w:bCs/>
          <w:iCs/>
          <w:sz w:val="28"/>
          <w:szCs w:val="28"/>
          <w:lang w:bidi="ar-SA"/>
        </w:rPr>
      </w:pPr>
      <w:r>
        <w:rPr>
          <w:rFonts w:eastAsia="Calibri" w:cs="Tahoma"/>
          <w:b/>
          <w:bCs/>
          <w:iCs/>
          <w:noProof/>
          <w:sz w:val="28"/>
          <w:szCs w:val="28"/>
          <w:lang w:bidi="ar-SA"/>
        </w:rPr>
        <w:drawing>
          <wp:inline distT="0" distB="0" distL="0" distR="0" wp14:anchorId="266DAEF0" wp14:editId="58DD036E">
            <wp:extent cx="628131" cy="67627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75" cy="70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Tahoma"/>
          <w:b/>
          <w:bCs/>
          <w:iCs/>
          <w:sz w:val="28"/>
          <w:szCs w:val="28"/>
          <w:lang w:bidi="ar-SA"/>
        </w:rPr>
        <w:tab/>
        <w:t xml:space="preserve">             B u r m i s t r z  M i a s t a  K a m i e n n a  G ó r a</w:t>
      </w:r>
    </w:p>
    <w:p w14:paraId="22BC1EC2" w14:textId="77777777" w:rsidR="004534F9" w:rsidRDefault="004534F9" w:rsidP="004534F9">
      <w:pPr>
        <w:pStyle w:val="Nagwek"/>
        <w:jc w:val="center"/>
        <w:rPr>
          <w:rFonts w:eastAsia="Calibri" w:cs="Tahoma"/>
          <w:iCs/>
          <w:lang w:bidi="ar-SA"/>
        </w:rPr>
      </w:pPr>
      <w:r>
        <w:rPr>
          <w:rFonts w:eastAsia="Calibri" w:cs="Tahoma"/>
          <w:iCs/>
          <w:lang w:bidi="ar-SA"/>
        </w:rPr>
        <w:t xml:space="preserve"> Pl. Grunwaldzki 1; 58-400 Kamienna Góra</w:t>
      </w:r>
    </w:p>
    <w:p w14:paraId="25F4CCD9" w14:textId="77777777" w:rsidR="004534F9" w:rsidRDefault="004534F9" w:rsidP="004534F9">
      <w:pPr>
        <w:pStyle w:val="Nagwek"/>
        <w:jc w:val="center"/>
        <w:rPr>
          <w:rFonts w:eastAsia="Calibri" w:cs="Tahoma"/>
          <w:iCs/>
          <w:lang w:bidi="ar-SA"/>
        </w:rPr>
      </w:pPr>
      <w:r>
        <w:rPr>
          <w:rFonts w:eastAsia="Calibri" w:cs="Tahoma"/>
          <w:iCs/>
          <w:lang w:bidi="ar-SA"/>
        </w:rPr>
        <w:t xml:space="preserve"> tel.(075) 64 55 127, fax. (075) 64 55 150</w:t>
      </w:r>
    </w:p>
    <w:p w14:paraId="3B63688A" w14:textId="77777777" w:rsidR="004534F9" w:rsidRDefault="00456061" w:rsidP="004534F9">
      <w:pPr>
        <w:pStyle w:val="Nagwek"/>
        <w:jc w:val="center"/>
      </w:pPr>
      <w:hyperlink r:id="rId6" w:history="1">
        <w:r w:rsidR="004534F9">
          <w:rPr>
            <w:rStyle w:val="Internetlink"/>
            <w:rFonts w:eastAsia="Calibri" w:cs="Calibri"/>
            <w:lang w:bidi="ar-SA"/>
          </w:rPr>
          <w:t>www.kamiennagora.pl    e-mail: sekretariat@kamiennagora.pl</w:t>
        </w:r>
      </w:hyperlink>
    </w:p>
    <w:p w14:paraId="6FAE4973" w14:textId="77777777" w:rsidR="004534F9" w:rsidRPr="00126A0E" w:rsidRDefault="004534F9" w:rsidP="004534F9">
      <w:pPr>
        <w:pStyle w:val="Nagwek"/>
        <w:jc w:val="center"/>
        <w:rPr>
          <w:rFonts w:eastAsia="Calibri" w:cs="Calibri"/>
          <w:sz w:val="28"/>
          <w:szCs w:val="28"/>
          <w:lang w:bidi="ar-SA"/>
        </w:rPr>
      </w:pPr>
      <w:r>
        <w:rPr>
          <w:rFonts w:eastAsia="Calibri" w:cs="Calibr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96F6C" wp14:editId="7D94619D">
                <wp:simplePos x="0" y="0"/>
                <wp:positionH relativeFrom="column">
                  <wp:posOffset>321840</wp:posOffset>
                </wp:positionH>
                <wp:positionV relativeFrom="paragraph">
                  <wp:posOffset>103680</wp:posOffset>
                </wp:positionV>
                <wp:extent cx="5114880" cy="360"/>
                <wp:effectExtent l="0" t="0" r="28620" b="377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880" cy="3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354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5.35pt;margin-top:8.15pt;width:402.75pt;height: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" strokeweight=".26mm">
                <v:stroke joinstyle="miter"/>
              </v:shape>
            </w:pict>
          </mc:Fallback>
        </mc:AlternateContent>
      </w:r>
    </w:p>
    <w:p w14:paraId="0C44C062" w14:textId="77777777" w:rsidR="004534F9" w:rsidRDefault="004534F9" w:rsidP="004534F9">
      <w:pPr>
        <w:pStyle w:val="Nagwek"/>
        <w:jc w:val="both"/>
        <w:rPr>
          <w:rFonts w:eastAsia="Calibri" w:cs="Calibri"/>
          <w:sz w:val="22"/>
          <w:szCs w:val="22"/>
          <w:u w:val="single"/>
          <w:lang w:bidi="ar-SA"/>
        </w:rPr>
      </w:pPr>
    </w:p>
    <w:p w14:paraId="62C4C864" w14:textId="77777777" w:rsidR="004534F9" w:rsidRPr="004534F9" w:rsidRDefault="004534F9" w:rsidP="004534F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Załącznik </w:t>
      </w:r>
    </w:p>
    <w:p w14:paraId="3248806B" w14:textId="77777777" w:rsidR="004534F9" w:rsidRPr="004534F9" w:rsidRDefault="004534F9" w:rsidP="004534F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do zarządzenia nr 287/2020</w:t>
      </w:r>
    </w:p>
    <w:p w14:paraId="2273456A" w14:textId="77777777" w:rsidR="004534F9" w:rsidRPr="004534F9" w:rsidRDefault="004534F9" w:rsidP="004534F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Burmistrza Miasta Kamienna Góra</w:t>
      </w:r>
    </w:p>
    <w:p w14:paraId="3B3AC45B" w14:textId="77777777" w:rsidR="004534F9" w:rsidRPr="004534F9" w:rsidRDefault="004534F9" w:rsidP="004534F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534F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z dnia 14.09.2020 r.</w:t>
      </w:r>
    </w:p>
    <w:p w14:paraId="588BB086" w14:textId="77777777" w:rsidR="004534F9" w:rsidRPr="004534F9" w:rsidRDefault="004534F9" w:rsidP="004534F9">
      <w:pPr>
        <w:spacing w:after="0" w:line="240" w:lineRule="auto"/>
        <w:ind w:left="528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F562E01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82FCF15" w14:textId="77777777" w:rsidR="004534F9" w:rsidRPr="004534F9" w:rsidRDefault="004534F9" w:rsidP="00453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u w:val="single"/>
          <w:lang w:eastAsia="pl-PL"/>
        </w:rPr>
        <w:t>OGŁOSZENIE</w:t>
      </w:r>
    </w:p>
    <w:p w14:paraId="1D2826A2" w14:textId="77777777" w:rsidR="004534F9" w:rsidRPr="004534F9" w:rsidRDefault="004534F9" w:rsidP="00453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pl-PL"/>
        </w:rPr>
      </w:pPr>
    </w:p>
    <w:p w14:paraId="285ECBB3" w14:textId="77777777" w:rsidR="004534F9" w:rsidRPr="004534F9" w:rsidRDefault="004534F9" w:rsidP="004534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pl-PL"/>
        </w:rPr>
      </w:pPr>
    </w:p>
    <w:p w14:paraId="57B96A5E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Burmistrz Miasta Kamienna Góra ogłasza otwarty konkurs ofert na realizację zadania publicznego z zakresu wychowania przedszkolnego w Kamiennej Górze. </w:t>
      </w:r>
    </w:p>
    <w:p w14:paraId="7F3277E7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4E2EDE5D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1. Cel konkursu</w:t>
      </w:r>
    </w:p>
    <w:p w14:paraId="771582F4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0F4DBD6F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Celem zadania jest zapewnienie możliwości korzystania z wychowania przedszkolnego (na warunkach takich jak w przedszkolach publicznych prowadzonych przez Gminę Miejską Kamienna Góra) dzieciom w wieku przedszkolnym – mieszkańcom Miasta Kamienna Góra, którym pomimo wzięcia udziału w procesie rekrutacji do przedszkoli publicznych na rok szkolny 2020/2021 nie zostały zapewnione miejsca w samorządowych przedszkolach.</w:t>
      </w:r>
    </w:p>
    <w:p w14:paraId="3469094A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3C963E0A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2. Wysokość środków przeznaczonych na realizację zadania, w tym wysokość planowanej dotacji w przeliczeniu na jedno dziecko objęte wychowaniem przedszkolnym</w:t>
      </w:r>
    </w:p>
    <w:p w14:paraId="6AD6DD85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4FFD39FE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W roku szkolnym 2020/2021 – ok. 177.000 zł </w:t>
      </w:r>
    </w:p>
    <w:p w14:paraId="40A696B9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51F0FBB1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Wysokość dotacji na każde dziecko, uczęszczające do przedszkola niepublicznego</w:t>
      </w:r>
      <w:bookmarkStart w:id="0" w:name="_Hlk50979576"/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/ </w:t>
      </w:r>
      <w:bookmarkStart w:id="1" w:name="_Hlk50981271"/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szkoły podstawowej, w której zorganizowano oddział przedszkolny / innej formy wychowania przedszkolnego </w:t>
      </w:r>
      <w:bookmarkEnd w:id="1"/>
      <w:r w:rsidRPr="004534F9">
        <w:rPr>
          <w:rFonts w:ascii="Times New Roman" w:eastAsia="Calibri" w:hAnsi="Times New Roman" w:cs="Times New Roman"/>
          <w:sz w:val="24"/>
          <w:lang w:eastAsia="pl-PL"/>
        </w:rPr>
        <w:t>wyłonionego w otwartym konkursie ofert</w:t>
      </w:r>
      <w:bookmarkEnd w:id="0"/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, będzie udzielana w wysokości określonej odpowiednio w art. 17 ust. 1, art. 19 ust. 1, 21 ust. 1 ustawy o finansowaniu zadań oświatowych, z tym że na ucznia niepełnosprawnego w wysokości nie niższej niż kwota przewidziana na takiego ucznia w części oświatowej subwencji ogólnej dla Gminy Miejskiej Kamienna Góra. W przypadku, w którym zgodnie z art. 127 ust. 5 ustawy – Prawo oświatowe przedszkole/ szkoła podstawowa, w której zorganizowano oddział przedszkolny / inna forma wychowania przedszkolnego  będzie prowadzić wczesne wspomaganie rozwoju dziecka, otrzyma na każde dziecko objęte wczesnym wspomaganiem rozwoju, niezależnie od dotacji, o których mowa powyżej dotację z budżetu Gminy w wysokości równej kwocie przewidzianej na takie dziecko objęte wczesnym wspomaganiem rozwoju w części oświatowej subwencji ogólnej dla gminy ( art. 15 ustawy o finansowaniu zadań oświatowych). </w:t>
      </w:r>
    </w:p>
    <w:p w14:paraId="24F48FE4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92BA7CD" w14:textId="77777777" w:rsid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C4048A9" w14:textId="77777777" w:rsid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3D9BF7F8" w14:textId="77777777" w:rsid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540E875" w14:textId="293050E4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lastRenderedPageBreak/>
        <w:t>§ 3. Zasady przyznawania dotacji</w:t>
      </w:r>
    </w:p>
    <w:p w14:paraId="3622A70C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6A6F4954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 przyznanie dotacji ubiegać się mogą osoby fizyczne i osoby prawne prowadzące przedszkola niepubliczne/szkoły podstawowe, w których zorganizowano oddział przedszkolny / inne formy wychowania przedszkolnego na terenie Miasta Kamienna Góra, z wyłączeniem przedszkoli integracyjnych, wpisane do ewidencji szkół i placówek niepublicznych prowadzonej przez Gminę Miejską Kamienna Góra.</w:t>
      </w:r>
    </w:p>
    <w:p w14:paraId="4A5D10C7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Dotacja jest przyznawana na realizację zadania na zasadach określonych powyżej i może być wydatkowana zgodnie z art. 35 ustawy o finansowaniu zadań oświatowych.</w:t>
      </w:r>
    </w:p>
    <w:p w14:paraId="6F598665" w14:textId="77777777" w:rsidR="004534F9" w:rsidRPr="004534F9" w:rsidRDefault="004534F9" w:rsidP="004534F9">
      <w:pPr>
        <w:numPr>
          <w:ilvl w:val="0"/>
          <w:numId w:val="2"/>
        </w:numPr>
        <w:tabs>
          <w:tab w:val="clear" w:pos="4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Warunkiem ubiegania się o przyznanie dotacji jest złożenie oferty według wzoru stanowiącego załącznik nr 1 do ogłoszenia oraz załączników określonych § 6 ogłoszenia.</w:t>
      </w:r>
    </w:p>
    <w:p w14:paraId="5885C44E" w14:textId="77777777" w:rsidR="004534F9" w:rsidRPr="004534F9" w:rsidRDefault="004534F9" w:rsidP="004534F9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Dotacja będzie udzielana i rozliczana w trybie określonym w uchwale nr XLVI/304/18 Rady Miasta Kamienna Góra z dnia 25 kwietnia 2018 r. w sprawie ustalenia trybu udzielania i rozliczania dotacji z budżetu Gminy Miejskiej Kamienna Góra dla niepublicznych szkół o uprawnieniach szkół publicznych, w których jest realizowany obowiązek szkolny, dla niepublicznych przedszkoli i niepublicznych innych form wychowania przedszkolnego działających na terenie Gminy Miejskiej Kamienna Góra, prowadzonych przez osoby prawne lub fizyczne oraz trybu przeprowadzania kontroli prawidłowości ich pobrania i wykorzystania</w:t>
      </w:r>
    </w:p>
    <w:p w14:paraId="1EC8C8AB" w14:textId="77777777" w:rsidR="004534F9" w:rsidRPr="004534F9" w:rsidRDefault="004534F9" w:rsidP="004534F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Dotacja udzielana będzie w ratach na podstawie informacji miesięcznej o faktycznej liczbie uczniów.</w:t>
      </w:r>
    </w:p>
    <w:p w14:paraId="17C703EB" w14:textId="77777777" w:rsidR="004534F9" w:rsidRPr="004534F9" w:rsidRDefault="004534F9" w:rsidP="004534F9">
      <w:pPr>
        <w:spacing w:after="0" w:line="240" w:lineRule="auto"/>
        <w:ind w:left="720" w:hanging="6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    </w:t>
      </w:r>
    </w:p>
    <w:p w14:paraId="48EDFFE6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4. Zakres, termin i warunki realizacji zadania</w:t>
      </w:r>
    </w:p>
    <w:p w14:paraId="6D7EF6DD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pl-PL"/>
        </w:rPr>
      </w:pPr>
    </w:p>
    <w:p w14:paraId="3AD17419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Termin realizacji zadania: od października/listopada 2020 r. do 31 sierpnia 2021 r.</w:t>
      </w:r>
    </w:p>
    <w:p w14:paraId="105FA7A5" w14:textId="77777777" w:rsidR="004534F9" w:rsidRPr="004534F9" w:rsidRDefault="004534F9" w:rsidP="004534F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Miejsce realizacji zadania: Miasto Kamienna Góra</w:t>
      </w:r>
    </w:p>
    <w:p w14:paraId="40AF2023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Z podmiotem, który będzie realizował zadanie, zostanie podpisane porozumienie w sprawie powierzenia realizacji zadania publicznego z zakresu wychowania przedszkolnego. </w:t>
      </w:r>
    </w:p>
    <w:p w14:paraId="1970A53A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117F52A1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5. Termin i miejsce składania ofert</w:t>
      </w:r>
    </w:p>
    <w:p w14:paraId="5C919293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7B0F20F" w14:textId="098837D8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Termin składania ofert upływa po 21 dniach od daty zamieszczenia ogłoszenia o konkursie w Biuletynie Informacji Publicznej Urzędu Miasta Kamienna Góra, na stronie internetowej Urzędu Miasta Kamienna Góra tj. </w:t>
      </w:r>
      <w:hyperlink r:id="rId7" w:history="1">
        <w:r w:rsidRPr="004534F9">
          <w:rPr>
            <w:rFonts w:ascii="Times New Roman" w:eastAsia="Calibri" w:hAnsi="Times New Roman" w:cs="Times New Roman"/>
            <w:color w:val="0563C1" w:themeColor="hyperlink"/>
            <w:sz w:val="24"/>
            <w:u w:val="single"/>
            <w:lang w:eastAsia="pl-PL"/>
          </w:rPr>
          <w:t>www.kamiennagora.pl</w:t>
        </w:r>
      </w:hyperlink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 oraz na tablicy ogłoszeń w siedzibie Urzędu Miasta Kamienna Góra ( 58 – 400  Kamienna Góra pl. Grunwaldzki 1) tj. </w:t>
      </w:r>
      <w:r w:rsidRPr="004534F9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dnia </w:t>
      </w:r>
      <w:r w:rsidR="00456061">
        <w:rPr>
          <w:rFonts w:ascii="Times New Roman" w:eastAsia="Calibri" w:hAnsi="Times New Roman" w:cs="Times New Roman"/>
          <w:b/>
          <w:bCs/>
          <w:sz w:val="24"/>
          <w:lang w:eastAsia="pl-PL"/>
        </w:rPr>
        <w:t>7</w:t>
      </w:r>
      <w:r w:rsidRPr="004534F9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października 2020.</w:t>
      </w:r>
    </w:p>
    <w:p w14:paraId="3A430F6D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Ofertę wraz z załącznikami należy składać w Biurze Obsługi Klienta Urzędu Miasta Kamienna Góra, 58 – 400 Kamienna Góra pl. Grunwaldzki 1 lub przesyłką listową na powyższy adres, przy czym o zachowaniu terminu decyduje data wpływu przesyłki do Urzędu Miasta Kamienna Góra.</w:t>
      </w:r>
    </w:p>
    <w:p w14:paraId="39B3AA9B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Oferty wraz z załącznikami należy składać w opisanych kopertach: nazwa i adres oferenta, nazwa zadania publicznego:</w:t>
      </w:r>
    </w:p>
    <w:p w14:paraId="3CA4C643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„Oferta na realizację zadania publicznego z zakresu wychowania przedszkolnego”.</w:t>
      </w:r>
    </w:p>
    <w:p w14:paraId="1856DCE5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Oferty, które wpłyną po ww. terminie, nie będą podlegać ocenie.</w:t>
      </w:r>
    </w:p>
    <w:p w14:paraId="57650DE3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AD2AF5B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6. Wymagane dokumenty</w:t>
      </w:r>
    </w:p>
    <w:p w14:paraId="5F9E137E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4E5EB605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Oferenci zobowiązani są do złożenia następujących dokumentów:</w:t>
      </w:r>
    </w:p>
    <w:p w14:paraId="2279B137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 xml:space="preserve">1) oferta realizacji zadania publicznego z zakresu wychowania przedszkolnego, podpisana przez osoby upoważnione do składania oświadczeń woli w imieniu organu prowadzącego </w:t>
      </w: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lastRenderedPageBreak/>
        <w:t>przedszkole niepubliczne, niepubliczną szkołę podstawową, w której zorganizowano oddział przedszkolny, niepubliczny punkt przedszkolny a w przypadku prowadzenia podmiotu przez kilka osób fizycznych – podpisana przez wszystkie te osoby. Formularz oferty stanowi załącznik Nr 1 do ogłoszenia,</w:t>
      </w:r>
    </w:p>
    <w:p w14:paraId="319044D4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2) kopia aktualnego odpisu z Krajowego Rejestru Sądowego w przypadku, gdy organ prowadzący jest osobą prawną lub wydruk z CEIDG,</w:t>
      </w:r>
    </w:p>
    <w:p w14:paraId="06AD3530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3) dokument potwierdzający upoważnienie do działania w imieniu oferenta w przypadku podpisania oferty przez osoby upoważnione przez organ prowadzący,</w:t>
      </w:r>
    </w:p>
    <w:p w14:paraId="3DDE2072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4) zobowiązanie, o którym mowa w art. 22 ust. 2 ustawy o finansowaniu zadań oświatowych, według wzoru stanowiącego załącznik Nr 2 do ogłoszenia,</w:t>
      </w:r>
    </w:p>
    <w:p w14:paraId="0D8F7D20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5) oświadczenie o posiadaniu prawa do zajmowania lokalu (lokali), w którym (których) realizowane ma być zadanie, z podaniem tytułu prawnego do dysponowania lokalem (akt własności, umowa najmu, umowa użyczenia, porozumienie w sprawie udostępnienia lokalu).</w:t>
      </w:r>
    </w:p>
    <w:p w14:paraId="54BFE195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Cs/>
          <w:sz w:val="24"/>
          <w:lang w:eastAsia="pl-PL"/>
        </w:rPr>
        <w:t>2. Poza załącznikami wymienionymi w ust. 1 oferent może dołączyć zdjęcia pomieszczeń w których będzie realizowane zadanie, w tym kuchni, jadalni, placu zabaw.</w:t>
      </w:r>
    </w:p>
    <w:p w14:paraId="603DEA5E" w14:textId="77777777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4254FECD" w14:textId="77777777" w:rsidR="004534F9" w:rsidRPr="004534F9" w:rsidRDefault="004534F9" w:rsidP="004534F9">
      <w:p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1BFD277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7. Tryb i kryteria stosowane przy wyborze ofert oraz termin dokonania wyboru ofert</w:t>
      </w:r>
    </w:p>
    <w:p w14:paraId="46FA10D2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02643038" w14:textId="77777777" w:rsidR="004534F9" w:rsidRPr="004534F9" w:rsidRDefault="004534F9" w:rsidP="004534F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Oferty oceniane będą w trybie i według kryteriów zawartych w uchwale nr XXVII/174/20 Rady Miasta Kamienna Góra z dnia 11 września 2020 r.  w sprawie określenia Regulaminu otwartego konkursu ofert na realizację zadania publicznego z zakresu wychowania przedszkolnego tj. </w:t>
      </w:r>
    </w:p>
    <w:p w14:paraId="589A8558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1) godziny otwarcia przedszkola lub innej formy wychowania przedszkolnego; </w:t>
      </w:r>
    </w:p>
    <w:p w14:paraId="3AFA793B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2) organizację wyżywienia w przedszkolu lub innej formie wychowania przedszkolnego; </w:t>
      </w:r>
    </w:p>
    <w:p w14:paraId="3609AB5E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3) warunki lokalowe i wyposażenie przedszkola lub innej formy wychowania przedszkolnego z uwzględnieniem zewnętrznych elementów infrastruktury,                                       w szczególności placu zabaw i ogrodu; </w:t>
      </w:r>
    </w:p>
    <w:p w14:paraId="2C00144F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4) kwalifikacje kadry pedagogicznej; </w:t>
      </w:r>
    </w:p>
    <w:p w14:paraId="1A17E867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5) zapewnianie przez przedszkole lub inną formę wychowania przedszkolnego oferty edukacyjnej dla dzieci z dysfunkcjami rozwojowymi;</w:t>
      </w:r>
    </w:p>
    <w:p w14:paraId="223B78C2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6) zapewnianie przez przedszkole lub inną formę wychowania przedszkolnego                    dodatkowych zajęć realizowanych poza podstawą programową wychowania przedszkolnego.</w:t>
      </w:r>
    </w:p>
    <w:p w14:paraId="5E946CF0" w14:textId="77777777" w:rsidR="004534F9" w:rsidRPr="004534F9" w:rsidRDefault="004534F9" w:rsidP="004534F9">
      <w:pPr>
        <w:numPr>
          <w:ilvl w:val="0"/>
          <w:numId w:val="3"/>
        </w:numPr>
        <w:spacing w:after="0" w:line="240" w:lineRule="auto"/>
        <w:ind w:left="426" w:hanging="66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Rozstrzygnięcie otwartego konkursu ofert nastąpi do dnia 9 października 2020 r. </w:t>
      </w:r>
    </w:p>
    <w:p w14:paraId="7F241172" w14:textId="77777777" w:rsidR="004534F9" w:rsidRPr="004534F9" w:rsidRDefault="004534F9" w:rsidP="004534F9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3. Wyniki otwartego konkursu ofert zostaną podane do wiadomości publicznej (w Biuletynie  Informacji Publicznej Urzędu Miasta Kamienna Góra, na tablicy ogłoszeń Urzędu Miasta Kamienna Góra, na stronie internetowej: www.kamiennagora.pl).</w:t>
      </w:r>
    </w:p>
    <w:p w14:paraId="25BE2F96" w14:textId="77777777" w:rsidR="004534F9" w:rsidRPr="004534F9" w:rsidRDefault="004534F9" w:rsidP="004534F9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4.   Burmistrz Miasta Kamienna Góra może odstąpić od rozstrzygnięcia otwartego konkursu ofert. Informację o tym podaje do publicznej wiadomości w sposób określony w ust. 3.</w:t>
      </w:r>
    </w:p>
    <w:p w14:paraId="0C3459FF" w14:textId="77777777" w:rsidR="004534F9" w:rsidRPr="004534F9" w:rsidRDefault="004534F9" w:rsidP="004534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</w:p>
    <w:p w14:paraId="4F6D5092" w14:textId="77777777" w:rsidR="004534F9" w:rsidRPr="004534F9" w:rsidRDefault="004534F9" w:rsidP="004534F9">
      <w:pPr>
        <w:spacing w:after="0" w:line="240" w:lineRule="auto"/>
        <w:ind w:left="540" w:hanging="540"/>
        <w:rPr>
          <w:rFonts w:ascii="Times New Roman" w:eastAsia="Calibri" w:hAnsi="Times New Roman" w:cs="Times New Roman"/>
          <w:b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b/>
          <w:sz w:val="24"/>
          <w:lang w:eastAsia="pl-PL"/>
        </w:rPr>
        <w:t>§ 8.  Maksymalna liczba wolnych miejsc zamierza pozyskać w wyniku przeprowadzenia otwartego konkursu ofert</w:t>
      </w:r>
    </w:p>
    <w:p w14:paraId="2FB8CF13" w14:textId="77777777" w:rsidR="004534F9" w:rsidRPr="004534F9" w:rsidRDefault="004534F9" w:rsidP="004534F9">
      <w:pPr>
        <w:spacing w:after="0" w:line="240" w:lineRule="auto"/>
        <w:ind w:left="540" w:hanging="540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FECE42B" w14:textId="6D6847EA" w:rsidR="004534F9" w:rsidRPr="004534F9" w:rsidRDefault="004534F9" w:rsidP="00453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4534F9">
        <w:rPr>
          <w:rFonts w:ascii="Times New Roman" w:eastAsia="Calibri" w:hAnsi="Times New Roman" w:cs="Times New Roman"/>
          <w:sz w:val="24"/>
          <w:lang w:eastAsia="pl-PL"/>
        </w:rPr>
        <w:t>Łącznie w wyniku otwartego konkursu ofert Gmina Miejska Kamienna Góra zamierza pozyskać około 15 wolnych miejsc.</w:t>
      </w:r>
    </w:p>
    <w:p w14:paraId="1DFA1E6A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14:paraId="1F6D855A" w14:textId="77777777" w:rsidR="004534F9" w:rsidRPr="004534F9" w:rsidRDefault="004534F9" w:rsidP="004534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7A1940E" w14:textId="77777777" w:rsidR="004534F9" w:rsidRPr="004534F9" w:rsidRDefault="004534F9" w:rsidP="004534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pl-PL"/>
        </w:rPr>
      </w:pPr>
    </w:p>
    <w:p w14:paraId="71D478DD" w14:textId="77777777" w:rsidR="004534F9" w:rsidRPr="009060D8" w:rsidRDefault="004534F9" w:rsidP="004534F9">
      <w:pPr>
        <w:rPr>
          <w:rFonts w:ascii="Times New Roman" w:hAnsi="Times New Roman" w:cs="Times New Roman"/>
        </w:rPr>
      </w:pPr>
    </w:p>
    <w:p w14:paraId="7F2DAC12" w14:textId="77777777" w:rsidR="004534F9" w:rsidRPr="009060D8" w:rsidRDefault="004534F9" w:rsidP="004534F9">
      <w:pPr>
        <w:rPr>
          <w:rFonts w:ascii="Times New Roman" w:hAnsi="Times New Roman" w:cs="Times New Roman"/>
        </w:rPr>
      </w:pPr>
    </w:p>
    <w:p w14:paraId="162F1D10" w14:textId="77777777" w:rsidR="004534F9" w:rsidRPr="009060D8" w:rsidRDefault="004534F9" w:rsidP="004534F9">
      <w:pPr>
        <w:rPr>
          <w:rFonts w:ascii="Times New Roman" w:hAnsi="Times New Roman" w:cs="Times New Roman"/>
        </w:rPr>
      </w:pPr>
    </w:p>
    <w:p w14:paraId="287A9F4B" w14:textId="77777777" w:rsidR="004534F9" w:rsidRPr="006E7036" w:rsidRDefault="004534F9" w:rsidP="004534F9">
      <w:pPr>
        <w:rPr>
          <w:rFonts w:ascii="Times New Roman" w:hAnsi="Times New Roman" w:cs="Times New Roman"/>
        </w:rPr>
      </w:pPr>
    </w:p>
    <w:p w14:paraId="033DC7BB" w14:textId="77777777" w:rsidR="004534F9" w:rsidRDefault="004534F9" w:rsidP="004534F9"/>
    <w:p w14:paraId="74240F59" w14:textId="77777777" w:rsidR="004534F9" w:rsidRDefault="004534F9" w:rsidP="004534F9"/>
    <w:p w14:paraId="73D93188" w14:textId="77777777" w:rsidR="00F27E10" w:rsidRDefault="00456061"/>
    <w:sectPr w:rsidR="00F2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583D"/>
    <w:multiLevelType w:val="hybridMultilevel"/>
    <w:tmpl w:val="F976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0C81"/>
    <w:multiLevelType w:val="hybridMultilevel"/>
    <w:tmpl w:val="E7B6D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3649C"/>
    <w:multiLevelType w:val="hybridMultilevel"/>
    <w:tmpl w:val="C256EEDE"/>
    <w:lvl w:ilvl="0" w:tplc="C09CCA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F9"/>
    <w:rsid w:val="004534F9"/>
    <w:rsid w:val="00456061"/>
    <w:rsid w:val="004C0A6C"/>
    <w:rsid w:val="00832EDA"/>
    <w:rsid w:val="00D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2ABF"/>
  <w15:chartTrackingRefBased/>
  <w15:docId w15:val="{385A00B7-011C-4E2C-8A15-9E4C1BD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34F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4534F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534F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enn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ennagor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cp:lastPrinted>2020-09-15T07:07:00Z</cp:lastPrinted>
  <dcterms:created xsi:type="dcterms:W3CDTF">2020-09-15T07:02:00Z</dcterms:created>
  <dcterms:modified xsi:type="dcterms:W3CDTF">2020-09-16T07:46:00Z</dcterms:modified>
</cp:coreProperties>
</file>