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Default"/>
        <w:jc w:val="center"/>
        <w:rPr/>
      </w:pPr>
      <w:r>
        <w:rPr>
          <w:rStyle w:val="Teksttreci"/>
          <w:rFonts w:ascii="Times New Roman" w:hAnsi="Times New Roman"/>
          <w:b/>
          <w:bCs/>
          <w:color w:val="auto"/>
          <w:sz w:val="24"/>
          <w:szCs w:val="24"/>
        </w:rPr>
        <w:t>ogłasza II otwarty konkurs ofert na wspieranie wykonywania zadań publicznych</w:t>
        <w:br/>
      </w:r>
      <w:r>
        <w:rPr>
          <w:rStyle w:val="Teksttreci"/>
          <w:rFonts w:ascii="Times New Roman" w:hAnsi="Times New Roman"/>
          <w:b/>
          <w:bCs/>
          <w:color w:val="auto"/>
          <w:sz w:val="24"/>
          <w:szCs w:val="24"/>
          <w:u w:val="none"/>
        </w:rPr>
        <w:t>w obszarze:</w:t>
      </w:r>
    </w:p>
    <w:p>
      <w:pPr>
        <w:pStyle w:val="Default"/>
        <w:jc w:val="center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DZIAŁALNOŚCI NA RZECZ SENIORÓW</w:t>
      </w:r>
      <w:bookmarkStart w:id="5" w:name="_Hlk93490219"/>
      <w:r>
        <w:rPr>
          <w:rFonts w:eastAsia="Calibri" w:cs="Times New Roman" w:ascii="Times New Roman" w:hAnsi="Times New Roman"/>
          <w:b/>
          <w:bCs/>
          <w:color w:val="auto"/>
          <w:sz w:val="24"/>
          <w:szCs w:val="24"/>
          <w:u w:val="single"/>
          <w:lang w:eastAsia="en-US"/>
        </w:rPr>
        <w:t xml:space="preserve"> </w:t>
      </w:r>
      <w:bookmarkEnd w:id="5"/>
    </w:p>
    <w:p>
      <w:pPr>
        <w:pStyle w:val="Default"/>
        <w:jc w:val="center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wraz z udzieleniem dotacji na dofinansowanie ich realizacji w 202</w:t>
      </w: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6</w:t>
      </w: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 xml:space="preserve"> roku</w:t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Cele i rodzaj zadania.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Cele: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aktywizacja osób niepełnosprawnych w różnym wieku oraz seniorów poprzez rozwijanie pasji i zainteresowań</w:t>
      </w:r>
    </w:p>
    <w:p>
      <w:pPr>
        <w:pStyle w:val="ListParagraph"/>
        <w:spacing w:lineRule="auto" w:line="259" w:before="0" w:after="160"/>
        <w:contextualSpacing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2. Rodzaj zadania :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rozwijanie pasji i zainteresowań seniorów</w:t>
      </w:r>
    </w:p>
    <w:p>
      <w:pPr>
        <w:pStyle w:val="Normal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Wysokość środków publicznych przeznaczonych na realizację tego zadania</w:t>
      </w:r>
    </w:p>
    <w:p>
      <w:pPr>
        <w:pStyle w:val="Normal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Wysokość środków publicznych przekazanych na realizację zadania wyniesie: 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sz w:val="24"/>
          <w:szCs w:val="24"/>
          <w:u w:val="single"/>
        </w:rPr>
        <w:t xml:space="preserve"> 500,00 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Zasady przyznawania dotacji: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agwek11"/>
        <w:numPr>
          <w:ilvl w:val="0"/>
          <w:numId w:val="20"/>
        </w:numPr>
        <w:ind w:hanging="380" w:left="380" w:right="0"/>
        <w:rPr/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6" w:name="59a62ef4-b6b0-49d0-b201-e625523a52d5_kop"/>
        <w:bookmarkEnd w:id="6"/>
        <w:r>
          <w:rPr>
            <w:rStyle w:val="Hyperlink"/>
            <w:rFonts w:eastAsia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color w:val="000000"/>
          <w:u w:val="none"/>
        </w:rPr>
        <w:t>1338</w:t>
      </w:r>
      <w:hyperlink r:id="rId5">
        <w:r>
          <w:rPr>
            <w:rStyle w:val="Hyperlink"/>
            <w:rFonts w:eastAsia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ListParagraph"/>
        <w:numPr>
          <w:ilvl w:val="0"/>
          <w:numId w:val="2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Ogólna kwota dotacji przeznaczona na realizację zadania może być podzielona między wnioskodawców.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muszą być wykonane w roku 2026. </w:t>
      </w:r>
      <w:r>
        <w:rPr>
          <w:rFonts w:cs="Calibri" w:cstheme="minorHAnsi"/>
          <w:b/>
          <w:sz w:val="24"/>
          <w:szCs w:val="24"/>
        </w:rPr>
        <w:t>Początek realizacji zadania powinien nastąpić nie wcześniej niż 2 lutego 202</w:t>
      </w:r>
      <w:r>
        <w:rPr>
          <w:rFonts w:cs="Calibri" w:cstheme="minorHAnsi"/>
          <w:b/>
          <w:sz w:val="24"/>
          <w:szCs w:val="24"/>
        </w:rPr>
        <w:t>6</w:t>
      </w:r>
      <w:r>
        <w:rPr>
          <w:rFonts w:cs="Calibri" w:cstheme="minorHAnsi"/>
          <w:b/>
          <w:sz w:val="24"/>
          <w:szCs w:val="24"/>
        </w:rPr>
        <w:t>. r., a zakończenie nie później niż 31 grudnia 202</w:t>
      </w:r>
      <w:r>
        <w:rPr>
          <w:rFonts w:cs="Calibri" w:cstheme="minorHAnsi"/>
          <w:b/>
          <w:sz w:val="24"/>
          <w:szCs w:val="24"/>
        </w:rPr>
        <w:t>6</w:t>
      </w:r>
      <w:r>
        <w:rPr>
          <w:rFonts w:cs="Calibri" w:cstheme="minorHAnsi"/>
          <w:b/>
          <w:sz w:val="24"/>
          <w:szCs w:val="24"/>
        </w:rPr>
        <w:t xml:space="preserve"> r.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Oferent może wydatkować przyznane mu w ramach dotacji środki od dnia podpisania umowy. Środki na realizację zadania wydatkowane pomiędzy 2 lutego 202</w:t>
      </w:r>
      <w:r>
        <w:rPr>
          <w:rFonts w:cs="Calibri" w:cstheme="minorHAnsi"/>
          <w:b/>
          <w:sz w:val="24"/>
          <w:szCs w:val="24"/>
        </w:rPr>
        <w:t>6</w:t>
      </w:r>
      <w:r>
        <w:rPr>
          <w:rFonts w:cs="Calibri" w:cstheme="minorHAnsi"/>
          <w:b/>
          <w:sz w:val="24"/>
          <w:szCs w:val="24"/>
        </w:rPr>
        <w:t xml:space="preserve"> r., a datą podpisania umowy, stanowią wkład własny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Dopuszcza się w trakcie realizacji zadania możliwość dokonywania przesunięć w zakresie poszczególnych pozycji kosztów działania oraz </w:t>
      </w:r>
      <w:r>
        <w:rPr>
          <w:rFonts w:cs="Calibri" w:cstheme="minorHAnsi"/>
          <w:sz w:val="24"/>
          <w:szCs w:val="24"/>
          <w:u w:val="single"/>
        </w:rPr>
        <w:t>pomiędzy działaniami o 20%.</w:t>
      </w:r>
      <w:r>
        <w:rPr>
          <w:rFonts w:cs="Calibri" w:cstheme="minorHAnsi"/>
          <w:sz w:val="24"/>
          <w:szCs w:val="24"/>
        </w:rPr>
        <w:t xml:space="preserve"> Zmniejszenie nie jest limitowane. Zmiany do wyżej określonego poziomu nie wymagają aneksu do umowy.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dotyczące wspierania realizacji zadań publicznych w zakresie zadania objętego niniejszym konkursem należy złożyć w terminie do dnia </w:t>
      </w:r>
      <w:r>
        <w:rPr>
          <w:rFonts w:cs="Calibri" w:cstheme="minorHAnsi"/>
          <w:b/>
          <w:bCs/>
          <w:sz w:val="24"/>
          <w:szCs w:val="24"/>
        </w:rPr>
        <w:t>2 marca</w:t>
      </w:r>
      <w:r>
        <w:rPr>
          <w:rFonts w:cs="Calibri" w:cstheme="minorHAnsi"/>
          <w:b/>
          <w:sz w:val="24"/>
          <w:szCs w:val="24"/>
        </w:rPr>
        <w:t xml:space="preserve"> 2026 r. do godziny 15.30 w siedzibie Urzędu Miasta Kamienna Góra przy Pl. Grunwaldzkim 1 w Biurze Obsługi Klienta </w:t>
      </w:r>
      <w:r>
        <w:rPr>
          <w:rFonts w:cs="Calibri" w:cstheme="minorHAnsi"/>
          <w:sz w:val="24"/>
          <w:szCs w:val="24"/>
        </w:rPr>
        <w:t xml:space="preserve">lub przesłać drogą pocztową na adres Urzędu  Miasta w Kamiennej Górze, Plac Grunwaldzki 1, 58-400 Kamienna Góra </w:t>
      </w:r>
      <w:r>
        <w:rPr>
          <w:rFonts w:cs="Calibri" w:cstheme="minorHAnsi"/>
          <w:b/>
          <w:sz w:val="24"/>
          <w:szCs w:val="24"/>
        </w:rPr>
        <w:t>(liczy się data wpływu do urzędu, a nie stempla pocztowego).</w:t>
      </w:r>
      <w:r>
        <w:rPr>
          <w:rFonts w:cs="Calibri" w:cstheme="minorHAnsi"/>
          <w:sz w:val="24"/>
          <w:szCs w:val="24"/>
        </w:rPr>
        <w:t xml:space="preserve"> Oferty przesyłane drogą elektroniczną nie będą przyjmowane.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Calibri" w:cstheme="minorHAnsi"/>
          <w:sz w:val="24"/>
          <w:szCs w:val="24"/>
        </w:rPr>
        <w:t xml:space="preserve">Oferty powinny być złożone w zamkniętych kopertach z napisem: </w:t>
      </w:r>
      <w:r>
        <w:rPr>
          <w:rStyle w:val="Teksttreci"/>
          <w:rFonts w:cs="Arial"/>
          <w:b/>
          <w:bCs/>
          <w:color w:val="000000"/>
          <w:sz w:val="24"/>
          <w:szCs w:val="24"/>
          <w:u w:val="single"/>
        </w:rPr>
        <w:t>„Konkurs ofert 202</w:t>
      </w:r>
      <w:r>
        <w:rPr>
          <w:rStyle w:val="Teksttreci"/>
          <w:rFonts w:cs="Arial"/>
          <w:b/>
          <w:bCs/>
          <w:color w:val="000000"/>
          <w:sz w:val="24"/>
          <w:szCs w:val="24"/>
          <w:u w:val="single"/>
        </w:rPr>
        <w:t>6</w:t>
      </w:r>
      <w:r>
        <w:rPr>
          <w:rStyle w:val="Teksttreci"/>
          <w:rFonts w:cs="Arial"/>
          <w:b/>
          <w:bCs/>
          <w:color w:val="000000"/>
          <w:sz w:val="24"/>
          <w:szCs w:val="24"/>
          <w:u w:val="single"/>
        </w:rPr>
        <w:t>” wraz z oznaczonym (obszarem) zadania zgodnie z ogłoszeniem konkursowym i</w:t>
      </w:r>
      <w:r>
        <w:rPr>
          <w:rStyle w:val="Teksttreci"/>
          <w:rFonts w:cs="Calibri" w:cstheme="minorHAnsi"/>
          <w:color w:val="000000"/>
          <w:sz w:val="24"/>
          <w:szCs w:val="24"/>
          <w:u w:val="single"/>
        </w:rPr>
        <w:t xml:space="preserve"> </w:t>
      </w:r>
      <w:r>
        <w:rPr>
          <w:rStyle w:val="Teksttreci"/>
          <w:rFonts w:cs="Calibri" w:cstheme="minorHAnsi"/>
          <w:b/>
          <w:bCs/>
          <w:color w:val="000000"/>
          <w:sz w:val="24"/>
          <w:szCs w:val="24"/>
          <w:u w:val="single"/>
        </w:rPr>
        <w:t>z oznaczonym rodzajem zadania  lub celem</w:t>
      </w:r>
      <w:r>
        <w:rPr>
          <w:rFonts w:cs="Calibri" w:cstheme="minorHAnsi"/>
          <w:sz w:val="24"/>
          <w:szCs w:val="24"/>
        </w:rPr>
        <w:t xml:space="preserve"> zgodnie z ogłoszeniem konkursowym.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muszą być sporządzone zgodnie z wzorem określonym w Rozporządzeniu Przewodniczącego Komitetu do Spraw Pożytku Publicznego z dnia 24 października 2018 r. </w:t>
        <w:br/>
        <w:t xml:space="preserve">w sprawie wzorów ofert i ramowych wzorów umów dotyczących realizacji zadań publicznych oraz wzorów sprawozdań z wykonania tych zadań. 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Do oferty konkursowej obligatoryjnie należy dołączyć: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aktualnego statutu,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</w:t>
        <w:br/>
        <w:t xml:space="preserve">i wyznania, jeżeli ich cele statutowe obejmują prowadzenie działalności pożytku publicznego, dekret powołujący na proboszcza lub inna funkcję, upoważniający do składania oświadczeń </w:t>
        <w:br/>
        <w:t>i zaciągania zobowiązań,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cstheme="minorHAnsi"/>
          <w:sz w:val="24"/>
          <w:szCs w:val="24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tryb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Ostateczne rozstrzygnięcie konkursu nastąpi w terminie </w:t>
      </w:r>
      <w:r>
        <w:rPr>
          <w:rFonts w:cs="Calibri" w:cstheme="minorHAnsi"/>
          <w:b/>
          <w:bCs/>
          <w:sz w:val="24"/>
          <w:szCs w:val="24"/>
          <w:u w:val="single"/>
        </w:rPr>
        <w:t>nie później niż 30 dni</w:t>
      </w:r>
      <w:r>
        <w:rPr>
          <w:rFonts w:cs="Calibri" w:cstheme="minorHAnsi"/>
          <w:sz w:val="24"/>
          <w:szCs w:val="24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Decyzję o udzieleniu dotacji podejmuje Burmistrz Miasta Kamienna Góra w formie zarządzenia.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zostaną uznane za kwalifikowalne, gdy: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związane są z realizowanym zadaniem i są niezbędne do jego realizacji,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uwzględnione w kosztorysie zadania,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skalkulowane racjonalnie na podstawie cen rynkowych,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zawierają kosztów pokrywanych w ramach innych pozycji budżetowych,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administracyjne zadania (w tym np. kierowanie, koordynacja, wykonywanie zadań administracyjno-nadzorczo-kontrolnych) </w:t>
      </w:r>
      <w:r>
        <w:rPr>
          <w:rFonts w:cs="Calibri" w:cstheme="minorHAnsi"/>
          <w:b/>
          <w:bCs/>
          <w:sz w:val="24"/>
          <w:szCs w:val="24"/>
          <w:u w:val="single"/>
        </w:rPr>
        <w:t>nie mogą przekroczyć 10% wnioskowanej dotacji.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Koszty, które nie zostaną uznane za kwalifikowalne: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pokrycie deficytu zrealizowanych wcześniej przedsięwzięć,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odsetki ustawowe i umowne,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nagrody pieniężne,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kary umowne.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color w:val="auto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OCENA FORMALNA</w:t>
            </w:r>
          </w:p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na obowiązującym formularzu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Czytelnie uzupełniono wszystkie wymagane pola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przez podmiot uprawniony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UWAGA: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złożenia oferty wspólnej, błąd formalny występujący po stronie jednego </w:t>
        <w:br/>
        <w:t>z podmiotów powoduje, że oferta nie będzie podlegała dalszej ocenie.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Komisja konkursowa rozpatruje oferty oddzielnie dla każdego zadania.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Oferty niespełniające wymogów formalnych nie podlegają dalszej ocenie.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Ocena merytoryczna oferty uwzględnia następujące kryteria: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933"/>
        <w:gridCol w:w="1432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OCENA MERYTORYCZNA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Staranność i szczegółowość opisu działań oraz rezultatów wynikających </w:t>
              <w:br/>
              <w:t>z realizacji zadania –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 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Ilość uczestników zadania 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Rzetelny i realny harmonogram działań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Kalkulacja kosztów w odniesieniu do zakresu rzeczowego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40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rzeczowy (lokal, sprzęt, materiały)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osobowy, w tym świadczenia wolontariuszy i praca społeczna członków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Dotychczasowe doświadczenie w realizacji zadań podobnego rodzaju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Zaangażowanie w realizację zadania osób o niezbędnych kwalifikacjach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Atrakcyjność i oryginalność oferty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0 - 4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65%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25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55%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45%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19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35%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25%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10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25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opłat, które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pkt.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 symbolicznych, które nie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3 pkt.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Niepobieranie opłat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Terminowość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Sposób rozliczenia otrzymanych środków finansowych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Uzyskanie mniej niż 50% możliwych do uzyskania punktów nie kwalifikuje oferty do dalszego rozpatrzenia.</w:t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Informacja o wysokości kosztów związanych z realizacją zadań publicznych </w:t>
        <w:br/>
        <w:t>w 2025 r.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roku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 xml:space="preserve"> Gmina Miejska Kamienna Góra udzieliła dotację na realizację zadania publicznego w obszarze działalności na rzecz osób niepełnosprawnych i seniorów.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 </w:t>
      </w:r>
      <w:r>
        <w:rPr>
          <w:rFonts w:cs="Calibri" w:cstheme="minorHAnsi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cs="Calibri" w:cstheme="minorHAnsi"/>
          <w:b/>
          <w:bCs/>
          <w:i/>
          <w:iCs/>
          <w:sz w:val="24"/>
          <w:szCs w:val="24"/>
        </w:rPr>
        <w:t>Polski Związek Emerytów Rencistów i Inwalidów rejon Kamienna Góra na realizację zadania publicznego „ ODKRYWAMY PIĘKNO NATURY”.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  <w:lang w:val="pl-PL" w:eastAsia="pl-PL"/>
        </w:rPr>
        <w:t>Przyznana kwota dotacji 2 400 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2.  </w:t>
      </w:r>
      <w:r>
        <w:rPr>
          <w:rFonts w:cs="Calibri" w:cstheme="minorHAnsi"/>
          <w:b/>
          <w:bCs/>
          <w:i/>
          <w:iCs/>
          <w:sz w:val="24"/>
          <w:szCs w:val="24"/>
        </w:rPr>
        <w:t>Polski Związek Emerytów Rencistów i Inwalidów rejon Kamienna Góra, na realizację zadania publicznego „MAGIA MUZYKI”</w:t>
      </w:r>
    </w:p>
    <w:p>
      <w:pPr>
        <w:pStyle w:val="Normal"/>
        <w:spacing w:lineRule="auto" w:line="276"/>
        <w:jc w:val="both"/>
        <w:rPr>
          <w:b/>
          <w:bCs/>
          <w:i/>
          <w:i/>
          <w:iCs/>
        </w:rPr>
      </w:pPr>
      <w:r>
        <w:rPr>
          <w:b/>
          <w:bCs/>
          <w:i/>
          <w:iCs/>
          <w:lang w:val="pl-PL" w:eastAsia="pl-PL"/>
        </w:rPr>
        <w:t>Przyznana kwota dotacji 1 100 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3. 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Polskie Stowarzyszenie Diabetyków oddział powiatowy w Kamiennej Górze  na realizację zadania publicznego </w:t>
      </w:r>
      <w:r>
        <w:rPr>
          <w:rFonts w:cs="Times New Roman"/>
          <w:b/>
          <w:bCs/>
          <w:i w:val="false"/>
          <w:iCs w:val="false"/>
          <w:sz w:val="24"/>
          <w:szCs w:val="24"/>
          <w:lang w:val="pl-PL" w:eastAsia="pl-PL"/>
        </w:rPr>
        <w:t xml:space="preserve"> „</w:t>
      </w: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>SENIORZY DIABETYCY ZA PAN BRAT Z PRZYRODĄ – WIOSNA W ARBORETUM „</w:t>
      </w:r>
    </w:p>
    <w:p>
      <w:pPr>
        <w:pStyle w:val="Normal"/>
        <w:spacing w:lineRule="auto" w:line="276"/>
        <w:jc w:val="both"/>
        <w:rPr>
          <w:b/>
          <w:bCs/>
          <w:i/>
          <w:i/>
          <w:iCs/>
        </w:rPr>
      </w:pPr>
      <w:r>
        <w:rPr>
          <w:b/>
          <w:bCs/>
          <w:i/>
          <w:iCs/>
          <w:lang w:val="pl-PL" w:eastAsia="pl-PL"/>
        </w:rPr>
        <w:t>Przyznana kwota dotacji 4 000 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Postanowienia końcowe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ListParagraph"/>
        <w:numPr>
          <w:ilvl w:val="0"/>
          <w:numId w:val="12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312,  tel. 75 645 51 36 lub 75 645 51 26.</w:t>
      </w:r>
    </w:p>
    <w:p>
      <w:pPr>
        <w:pStyle w:val="Teksttreci1"/>
        <w:keepNext w:val="false"/>
        <w:keepLines w:val="false"/>
        <w:widowControl w:val="false"/>
        <w:bidi w:val="0"/>
        <w:spacing w:before="0" w:after="0"/>
        <w:ind w:hanging="0" w:left="0" w:right="0"/>
        <w:jc w:val="both"/>
        <w:rPr/>
      </w:pPr>
      <w:r>
        <w:rPr>
          <w:rFonts w:cs="Calibri" w:ascii="Times New Roman" w:hAnsi="Times New Roman" w:cstheme="minorHAnsi"/>
          <w:sz w:val="24"/>
          <w:szCs w:val="24"/>
        </w:rPr>
        <w:tab/>
        <w:tab/>
        <w:tab/>
        <w:tab/>
        <w:tab/>
        <w:tab/>
        <w:tab/>
      </w:r>
      <w:r>
        <w:rPr>
          <w:rFonts w:cs="Calibri" w:ascii="Times New Roman" w:hAnsi="Times New Roman" w:cstheme="minorHAnsi"/>
          <w:b/>
          <w:bCs/>
          <w:sz w:val="24"/>
          <w:szCs w:val="24"/>
          <w:u w:val="none"/>
        </w:rPr>
        <w:t xml:space="preserve">Zastępca Burmistrza Miasta </w:t>
      </w:r>
    </w:p>
    <w:p>
      <w:pPr>
        <w:pStyle w:val="Teksttreci1"/>
        <w:widowControl w:val="false"/>
        <w:bidi w:val="0"/>
        <w:spacing w:before="0" w:after="0"/>
        <w:ind w:hanging="0" w:left="0" w:right="0"/>
        <w:jc w:val="both"/>
        <w:rPr>
          <w:b/>
          <w:bCs/>
          <w:u w:val="none"/>
        </w:rPr>
      </w:pPr>
      <w:r>
        <w:rPr>
          <w:b/>
          <w:bCs/>
          <w:u w:val="none"/>
        </w:rPr>
        <w:t xml:space="preserve">     </w:t>
      </w:r>
      <w:r>
        <w:rPr>
          <w:b/>
          <w:bCs/>
          <w:u w:val="none"/>
        </w:rPr>
        <w:tab/>
        <w:tab/>
        <w:tab/>
        <w:tab/>
        <w:tab/>
        <w:tab/>
        <w:tab/>
        <w:tab/>
        <w:t>Kamienna Góra</w:t>
      </w:r>
    </w:p>
    <w:p>
      <w:pPr>
        <w:pStyle w:val="Teksttreci1"/>
        <w:widowControl w:val="false"/>
        <w:bidi w:val="0"/>
        <w:spacing w:before="0" w:after="0"/>
        <w:ind w:hanging="0" w:left="0" w:right="0"/>
        <w:jc w:val="both"/>
        <w:rPr>
          <w:b/>
          <w:bCs/>
          <w:u w:val="none"/>
        </w:rPr>
      </w:pPr>
      <w:r>
        <w:rPr>
          <w:b/>
          <w:bCs/>
          <w:u w:val="none"/>
        </w:rPr>
        <w:t xml:space="preserve">      </w:t>
      </w:r>
      <w:r>
        <w:rPr>
          <w:b/>
          <w:bCs/>
          <w:u w:val="none"/>
        </w:rPr>
        <w:tab/>
        <w:tab/>
        <w:tab/>
        <w:tab/>
        <w:tab/>
        <w:tab/>
        <w:tab/>
        <w:tab/>
        <w:t xml:space="preserve"> /-/ Paweł Fryc</w:t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 w:cs="Calibri" w:cstheme="minorHAnsi"/>
          <w:sz w:val="24"/>
          <w:szCs w:val="24"/>
          <w:u w:val="none"/>
        </w:rPr>
      </w:pPr>
      <w:r>
        <w:rPr>
          <w:rFonts w:cs="Calibri" w:cstheme="minorHAnsi"/>
          <w:sz w:val="24"/>
          <w:szCs w:val="24"/>
          <w:u w:val="none"/>
        </w:rPr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sid w:val="00805bce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>
    <w:name w:val="Znaki przypisów końcowych"/>
    <w:qFormat/>
    <w:rsid w:val="00720d5f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Inne">
    <w:name w:val="Inne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Podpistabeli">
    <w:name w:val="Podpis tabeli_"/>
    <w:basedOn w:val="DefaultParagraphFont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>
    <w:name w:val="Nagłówek #1_"/>
    <w:basedOn w:val="DefaultParagraphFont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lubstopka2">
    <w:name w:val="Nagłówek lub stopka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Default" w:customStyle="1">
    <w:name w:val="Default"/>
    <w:qFormat/>
    <w:rsid w:val="00dd3e7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Inne1">
    <w:name w:val="Inne"/>
    <w:basedOn w:val="Normal"/>
    <w:qFormat/>
    <w:pPr>
      <w:widowControl w:val="false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Podpistabeli1">
    <w:name w:val="Podpis tabeli"/>
    <w:basedOn w:val="Normal"/>
    <w:qFormat/>
    <w:pPr>
      <w:widowControl w:val="false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1">
    <w:name w:val="Nagłówek #1"/>
    <w:basedOn w:val="Normal"/>
    <w:qFormat/>
    <w:pPr>
      <w:widowControl w:val="false"/>
      <w:numPr>
        <w:ilvl w:val="0"/>
        <w:numId w:val="0"/>
      </w:numPr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lubstopka21">
    <w:name w:val="Nagłówek lub stopka (2)"/>
    <w:basedOn w:val="Normal"/>
    <w:qFormat/>
    <w:pPr>
      <w:widowControl w:val="fals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775-5572-4715-BDBD-DD0F6A9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8</Pages>
  <Words>2200</Words>
  <Characters>13502</Characters>
  <CharactersWithSpaces>15553</CharactersWithSpaces>
  <Paragraphs>162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2023-01-31T06:39:00Z</dcterms:created>
  <dc:creator>Kancelaria Prezydenta RP</dc:creator>
  <dc:description/>
  <dc:language>pl-PL</dc:language>
  <cp:lastModifiedBy/>
  <cp:lastPrinted>2025-03-12T12:05:20Z</cp:lastPrinted>
  <dcterms:modified xsi:type="dcterms:W3CDTF">2026-02-02T09:39:21Z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