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ogłasza otwarty konkurs ofert na wspieranie wykonywania zadań publicznych</w:t>
        <w:br/>
        <w:t>w obszarze: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rStyle w:val="Teksttreci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Teksttreci"/>
          <w:rFonts w:ascii="Times New Roman" w:hAnsi="Times New Roman"/>
          <w:b/>
          <w:bCs/>
          <w:sz w:val="24"/>
          <w:szCs w:val="24"/>
          <w:u w:val="single"/>
        </w:rPr>
        <w:t>TURYSTYKA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rStyle w:val="Teksttreci"/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Strong"/>
          <w:rFonts w:cs="Calibri" w:cstheme="minorHAnsi"/>
          <w:sz w:val="24"/>
          <w:szCs w:val="24"/>
        </w:rPr>
        <w:t>wraz z udzieleniem dotacji na dofinansowanie ich realizacji w 2026 roku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Cel i rodzaj zadania.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Cel:</w:t>
      </w:r>
    </w:p>
    <w:p>
      <w:pPr>
        <w:pStyle w:val="ListParagraph"/>
        <w:numPr>
          <w:ilvl w:val="0"/>
          <w:numId w:val="21"/>
        </w:numPr>
        <w:spacing w:lineRule="auto" w:line="259" w:before="0" w:after="160"/>
        <w:contextualSpacing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popularyzacja turystyki aktywnej i poznawczej wśród mieszkańców Kamiennej Góry.</w:t>
      </w:r>
    </w:p>
    <w:p>
      <w:pPr>
        <w:pStyle w:val="ListParagraph"/>
        <w:spacing w:lineRule="auto" w:line="259" w:before="0" w:after="160"/>
        <w:ind w:left="765"/>
        <w:contextualSpacing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Rodzaj zadania: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/>
        <w:contextualSpacing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organizacja imprez krajoznawczych w tym rajdów, zlotów i wycieczek tematycznych oraz imprez turystyki kwalifikowanej dla mieszkańców Gminy Miejskiej Kamienna Góra,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/>
        <w:contextualSpacing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podnoszenie atrakcyjności turystycznej miasta poprzez uporządkowanie przestrzeni szlaków i atrakcji turystycznych miasta Kamienna Góra w zakresie znakowania, konserwacji szlaków, zagospodarowania w tablice informacyjne, ławki, stoły i inne elementy małej architektury.</w:t>
      </w:r>
    </w:p>
    <w:p>
      <w:pPr>
        <w:pStyle w:val="ListParagraph"/>
        <w:spacing w:lineRule="auto" w:line="259" w:before="0" w:after="160"/>
        <w:ind w:left="360"/>
        <w:contextualSpacing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 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Wysokość środków publicznych przeznaczonych na realizację tego zadania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Wysokość środków publicznych przekazanych na realizację zadania wyniesie: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>35 000,00 zł.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Zasady przyznawania dotacji: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agwek1"/>
        <w:numPr>
          <w:ilvl w:val="0"/>
          <w:numId w:val="2"/>
        </w:numPr>
        <w:ind w:hanging="380" w:left="380" w:right="0"/>
        <w:rPr/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5" w:name="59a62ef4-b6b0-49d0-b201-e625523a52d5_kop"/>
        <w:bookmarkEnd w:id="5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u w:val="none"/>
        </w:rPr>
        <w:t>1338</w:t>
      </w:r>
      <w:hyperlink r:id="rId5"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Ogólna kwota dotacji przeznaczona na realizację zadania może być podzielona między wnioskodawców.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Zadania muszą być wykonane w roku 2026.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Początek realizacji zadania powinien nastąpić nie wcześniej niż 30 stycznia 2026 r., a zakończenie nie później niż 31 grudnia 2026 r.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Oferent może wydatkować przyznane mu w ramach dotacji środki od dnia podpisania umowy. Środki na realizację zadania wydatkowane pomiędzy 30 stycznia 2026 r., a datą podpisania umowy, stanowią wkład własny organizacji.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Dopuszcza się w trakcie realizacji zadania możliwość dokonywania przesunięć w zakresie poszczególnych pozycji kosztów działania oraz </w:t>
      </w:r>
      <w:r>
        <w:rPr>
          <w:rFonts w:cs="Calibri" w:ascii="Calibri" w:hAnsi="Calibri" w:asciiTheme="minorHAnsi" w:cstheme="minorHAnsi" w:hAnsiTheme="minorHAnsi"/>
          <w:sz w:val="24"/>
          <w:szCs w:val="24"/>
          <w:u w:val="single"/>
        </w:rPr>
        <w:t>pomiędzy działaniami o 20%.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Zmniejszenie nie jest limitowane. Zmiany do wyżej określonego poziomu nie wymagają aneksu do umowy.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Oferty dotyczące wspierania realizacji zadań publicznych w zakresie zadania objętego niniejszym konkursem należy złożyć w terminie do dnia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27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lutego 2026 r. do godziny 15.30 w siedzibie Urzędu Miasta Kamienna Góra przy Pl. Grunwaldzkim 1 w Biurze Obsługi Klienta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lub przesłać drogą pocztową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na adres Urzędu Miasta w Kamiennej Górze, Plac Grunwaldzki 1, 58-400 Kamienna Góra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(liczy się data wpływu do urzędu, a nie stempla pocztowego). </w:t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Oferty powinny być złożone w zamkniętych kopertach z napisem: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„Konkurs ofert 2026”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wraz z oznaczonym rodzajem zadania zgodnie z ogłoszeniem konkursowym.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Oferty muszą być sporządzone zgodnie z wzorem określonym w Rozporządzeniu Przewodniczącego Komitetu do Spraw Pożytku Publicznego z dnia 24 października 2018 r. </w:t>
        <w:br/>
        <w:t>w sprawie wzorów ofert i ramowych wzorów umów dotyczących realizacji zadań publicznych oraz wzorów sprawozdań z wykonania tych zadań.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oferty konkursowej obligatoryjnie należy dołączyć: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kopię aktualnego statutu,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</w:t>
        <w:br/>
        <w:t xml:space="preserve">i wyznania, jeżeli ich cele statutowe obejmują prowadzenie działalności pożytku publicznego, dekret powołujący na proboszcza lub inna funkcję, upoważniający do składania oświadczeń </w:t>
        <w:br/>
        <w:t>i zaciągania zobowiązań,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Termin i tryb wyboru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Ostateczne rozstrzygnięcie konkursu nastąpi w terminie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>nie później niż 30 dni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Decyzję o udzieleniu dotacji podejmuje Burmistrz Miasta Kamienna Góra w formie zarządzenia.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Koszty zostaną uznane za kwalifikowalne, gdy: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związane są z realizowanym zadaniem i są niezbędne do jego realizacji,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zostały uwzględnione w kosztorysie zadania,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zostały skalkulowane racjonalnie na podstawie cen rynkowych,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nie zawierają kosztów pokrywanych w ramach innych pozycji budżetowych,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Koszty administracyjne zadania (w tym np. kierowanie, koordynacja, wykonywanie zadań administracyjno-nadzorczo-kontrolnych)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>nie mogą przekroczyć 10% wnioskowanej dotacji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Koszty, które nie zostaną uznane za kwalifikowalne: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pokrycie deficytu zrealizowanych wcześniej przedsięwzięć,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odsetki ustawowe i umowne,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nagrody pieniężne,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kary umowne.</w:t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auto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auto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OCENA FORMALNA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Oferta została złożona na obowiązującym formularzu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Czytelnie uzupełniono wszystkie wymagane pola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Oferta została złożona przez podmiot uprawniony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UWAGA:</w:t>
      </w:r>
    </w:p>
    <w:p>
      <w:pPr>
        <w:pStyle w:val="ListParagraph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przypadku złożenia oferty wspólnej, błąd formalny występujący po stronie jednego </w:t>
        <w:br/>
        <w:t>z podmiotów powoduje, że oferta nie będzie podlegała dalszej ocenie.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720" w:left="1077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Kryteria wyboru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Komisja konkursowa rozpatruje oferty oddzielnie dla każdego zadania.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Oferty niespełniające wymogów formalnych nie podlegają dalszej ocenie.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Ocena merytoryczna oferty uwzględnia następujące kryteria: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933"/>
        <w:gridCol w:w="1432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OCENA MERYTORYCZNA</w:t>
            </w:r>
          </w:p>
        </w:tc>
      </w:tr>
      <w:tr>
        <w:trPr>
          <w:trHeight w:val="631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Staranność i szczegółowość opisu działań oraz rezultatów wynikających z realizacji zadania –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  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Ilość uczestników zadania 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Rzetelny i realny harmonogram działań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Kalkulacja kosztów w odniesieniu do zakresu rzeczowego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0 - 10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 40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Wkład rzeczowy (lokal, sprzęt, materiały)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0 - 10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Wkład osobowy, w tym świadczenia wolontariuszy i praca społeczna członków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0 - 5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Max.15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Dotychczasowe doświadczenie w realizacji zadań podobnego rodzaju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Zaangażowanie w realizację zadania osób o niezbędnych kwalifikacjach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Atrakcyjność i oryginalność oferty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0 - 4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Max.10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65%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25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55%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45%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19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35%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25%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</w:rPr>
                    <w:t>10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4"/>
                      <w:szCs w:val="24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Max.25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Pobieranie opłat, które przekraczają 5% kosztów całości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Pobieranie opłat symbolicznych, które nie przekraczają 5% kosztów całości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3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Niepobieranie opłat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Rzetelność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0 -5 pkt.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Terminowość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0 - 5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Sposób rozliczenia otrzymanych środków finansowych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0 -5 pkt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Max. 15</w:t>
            </w:r>
            <w:bookmarkStart w:id="6" w:name="_Hlk63842309"/>
            <w:bookmarkEnd w:id="6"/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numPr>
          <w:ilvl w:val="0"/>
          <w:numId w:val="12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Uzyskanie mniej niż 50% możliwych do uzyskania punktów nie kwalifikuje oferty do dalszego rozpatrzenia.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Informacja o wysokości kosztów związanych z realizacją zadań publicznych </w:t>
        <w:br/>
        <w:t>w 2025 r.</w:t>
      </w:r>
    </w:p>
    <w:p>
      <w:pPr>
        <w:pStyle w:val="Normal"/>
        <w:spacing w:lineRule="auto" w:line="276"/>
        <w:jc w:val="both"/>
        <w:rPr>
          <w:b/>
          <w:bCs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>Dotacje przekazane przez Gminę Miejską Kamienna Góra na realizację zadań publicznych z obszaru turystyki w roku 202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>5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u w:val="single"/>
        </w:rPr>
        <w:t xml:space="preserve"> 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lineRule="auto" w:line="264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</w:t>
      </w:r>
      <w:r>
        <w:rPr>
          <w:rFonts w:cs="Calibri" w:cstheme="minorHAnsi"/>
          <w:b/>
          <w:bCs/>
          <w:i/>
          <w:iCs/>
          <w:sz w:val="24"/>
          <w:szCs w:val="24"/>
          <w:lang w:val="pl-PL" w:eastAsia="pl-PL"/>
        </w:rPr>
        <w:t>Oddział Polskiego Towarzystwa Schronisk Młodzieżowych w Kamiennej Górze</w:t>
      </w:r>
      <w:bookmarkStart w:id="7" w:name="793dab8a-6886-445c-a9d1-f45b6f1013a3_kop"/>
      <w:bookmarkEnd w:id="7"/>
      <w:r>
        <w:rPr>
          <w:rFonts w:cs="Calibri" w:cstheme="minorHAnsi"/>
          <w:b/>
          <w:bCs/>
          <w:i/>
          <w:iCs/>
          <w:sz w:val="24"/>
          <w:szCs w:val="24"/>
          <w:lang w:val="pl-PL" w:eastAsia="pl-PL"/>
        </w:rPr>
        <w:t xml:space="preserve"> na realizację zadania publicznego:</w:t>
      </w: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 xml:space="preserve">„Cykl imprez turystyczno-krajoznawczych  dla dzieci i młodzieży szkolnej z terenu gminy miejskiej kamienna góra” </w:t>
      </w:r>
    </w:p>
    <w:p>
      <w:pPr>
        <w:pStyle w:val="Normal"/>
        <w:spacing w:before="0" w:after="0"/>
        <w:rPr>
          <w:b/>
          <w:bCs/>
          <w:i/>
          <w:i/>
          <w:iCs/>
        </w:rPr>
      </w:pPr>
      <w:r>
        <w:rPr>
          <w:rFonts w:cs="Times New Roman"/>
          <w:b/>
          <w:bCs/>
          <w:i/>
          <w:iCs/>
          <w:lang w:val="pl-PL" w:eastAsia="pl-PL"/>
        </w:rPr>
        <w:t>Przyznana kwota dotacji: 20 000 zł,</w:t>
      </w:r>
    </w:p>
    <w:p>
      <w:pPr>
        <w:pStyle w:val="Normal"/>
        <w:spacing w:before="0" w:after="0"/>
        <w:rPr>
          <w:rFonts w:cs="Times New Roman"/>
          <w:b/>
          <w:bCs/>
          <w:i/>
          <w:i/>
          <w:iCs/>
          <w:lang w:val="pl-PL" w:eastAsia="pl-PL"/>
        </w:rPr>
      </w:pPr>
      <w:r>
        <w:rPr>
          <w:rFonts w:cs="Times New Roman"/>
          <w:b/>
          <w:bCs/>
          <w:i/>
          <w:iCs/>
          <w:lang w:val="pl-PL" w:eastAsia="pl-PL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l-PL" w:eastAsia="pl-PL"/>
        </w:rPr>
        <w:t xml:space="preserve">2. </w:t>
      </w: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>Oddział Polskiego Towarzystwa Turystyczno-Krajoznawczego „ Ziemi Kamiennogórskiej” sprawozdanie końcowe z wykonania zadania publicznego „Lato w górach”.</w:t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>Przyznana kwota dotacji 10 000 zł,</w:t>
      </w:r>
    </w:p>
    <w:p>
      <w:pPr>
        <w:pStyle w:val="Normal"/>
        <w:spacing w:lineRule="auto" w:line="276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left"/>
        <w:rPr>
          <w:b/>
          <w:bCs/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</w:rPr>
        <w:t xml:space="preserve">3. </w:t>
      </w: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>Stowarzyszenie KAMDŻA sprawozdanie końcowe z wykonania zadania publicznego „Uporządkowanie szlaków rowerowych, ścianek wspinaczkowych do sezonu 2025 rowerowych</w:t>
      </w:r>
      <w:r>
        <w:rPr>
          <w:rFonts w:cs="Times New Roman"/>
          <w:b w:val="false"/>
          <w:bCs w:val="false"/>
          <w:i/>
          <w:iCs/>
          <w:sz w:val="24"/>
          <w:szCs w:val="24"/>
          <w:lang w:val="pl-PL" w:eastAsia="pl-PL"/>
        </w:rPr>
        <w:t>”</w:t>
      </w:r>
      <w:r>
        <w:rPr>
          <w:rFonts w:cs="Times New Roman"/>
          <w:b/>
          <w:bCs/>
          <w:i/>
          <w:iCs/>
          <w:sz w:val="24"/>
          <w:szCs w:val="24"/>
          <w:lang w:val="pl-PL" w:eastAsia="pl-PL"/>
        </w:rPr>
        <w:t>. Przyznana kwota dotacji: 2 500 zł,</w:t>
      </w:r>
    </w:p>
    <w:p>
      <w:pPr>
        <w:pStyle w:val="Normal"/>
        <w:spacing w:lineRule="auto" w:line="2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Postanowienia końcowe</w:t>
      </w:r>
    </w:p>
    <w:p>
      <w:pPr>
        <w:pStyle w:val="ListParagraph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Dodatkowo oferent zobowiązany jest do zapraszania przedstawicieli władz miasta na wszystkie ważniejsze wydarzenia (turnieje, uroczystości, zawody sportowe itp.) organizowane w ramach zadania publicznego, na które została przyznana dotacja. </w:t>
      </w:r>
    </w:p>
    <w:p>
      <w:pPr>
        <w:pStyle w:val="Teksttreci1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realizacji zadania z udziałem małoletnich wyłoniony oferent zobowiązany jest do stosowania ustawy z dnia 13 maja 2016 r. o przeciwdziałaniu zagrożeniom przestępczością na tle seksualnym i ochronie małoletnich. (t.j. Dz. U. Z 2024 r., poz. 1802 z późn. zm.).</w:t>
      </w:r>
    </w:p>
    <w:p>
      <w:pPr>
        <w:pStyle w:val="ListParagraph"/>
        <w:numPr>
          <w:ilvl w:val="0"/>
          <w:numId w:val="13"/>
        </w:numPr>
        <w:spacing w:lineRule="auto" w:line="276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przypadku rezygnacji podmiotu lub odmowy podpisania umowy, zarezerwowane środki finansowe mogą być przeznaczone na ogłoszenie nowego konkursu lub na realizację zadania </w:t>
        <w:br/>
        <w:t>w innej formie.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304,  tel. 75 645 51 36 lub 75 645 51 26.</w:t>
      </w:r>
    </w:p>
    <w:p>
      <w:pPr>
        <w:pStyle w:val="ListParagraph"/>
        <w:spacing w:lineRule="auto" w:line="276"/>
        <w:ind w:left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b w:val="false"/>
          <w:bCs w:val="false"/>
        </w:rPr>
        <w:t>Zastępca Burmistrza Miasta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>
          <w:b w:val="false"/>
          <w:bCs w:val="false"/>
        </w:rPr>
      </w:pPr>
      <w:r>
        <w:rPr>
          <w:b w:val="false"/>
          <w:bCs w:val="false"/>
        </w:rPr>
        <w:t>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>
          <w:b w:val="false"/>
          <w:bCs w:val="false"/>
        </w:rPr>
      </w:pPr>
      <w:r>
        <w:rPr>
          <w:b w:val="false"/>
          <w:bCs w:val="false"/>
        </w:rPr>
        <w:t>/-/ Paweł Fryc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</w:t>
      </w:r>
    </w:p>
    <w:p>
      <w:pPr>
        <w:pStyle w:val="ListParagraph"/>
        <w:spacing w:lineRule="auto" w:line="276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9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9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sid w:val="00805bce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>
    <w:name w:val="Znaki przypisów końcowych"/>
    <w:qFormat/>
    <w:rsid w:val="00720d5f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">
    <w:name w:val="Nagłówek #1"/>
    <w:basedOn w:val="Normal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05DF-7F11-4EC8-8605-1330C0F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LibreOffice/25.2.7.2$Windows_X86_64 LibreOffice_project/5cbfd1ab6520636bb5f7b99185aa69bd7456825d</Application>
  <AppVersion>15.0000</AppVersion>
  <Pages>9</Pages>
  <Words>2258</Words>
  <Characters>14011</Characters>
  <CharactersWithSpaces>16083</CharactersWithSpaces>
  <Paragraphs>166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2020-01-23T11:46:00Z</dcterms:created>
  <dc:creator>Kancelaria Prezydenta RP</dc:creator>
  <dc:description/>
  <dc:language>pl-PL</dc:language>
  <cp:lastModifiedBy/>
  <cp:lastPrinted>2025-01-28T14:01:06Z</cp:lastPrinted>
  <dcterms:modified xsi:type="dcterms:W3CDTF">2026-01-28T12:39:11Z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