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AC57" w14:textId="77777777" w:rsidR="00133F09" w:rsidRDefault="00133F09" w:rsidP="00133F09">
      <w:pPr>
        <w:pStyle w:val="Nagwek"/>
        <w:pageBreakBefore/>
        <w:rPr>
          <w:rFonts w:eastAsia="Calibri" w:cs="Tahoma"/>
          <w:b/>
          <w:bCs/>
          <w:iCs/>
          <w:sz w:val="28"/>
          <w:szCs w:val="28"/>
          <w:lang w:bidi="ar-SA"/>
        </w:rPr>
      </w:pPr>
      <w:r>
        <w:rPr>
          <w:rFonts w:eastAsia="Calibri" w:cs="Tahoma"/>
          <w:b/>
          <w:bCs/>
          <w:iCs/>
          <w:noProof/>
          <w:sz w:val="28"/>
          <w:szCs w:val="28"/>
          <w:lang w:bidi="ar-SA"/>
        </w:rPr>
        <w:drawing>
          <wp:inline distT="0" distB="0" distL="0" distR="0" wp14:anchorId="3ECF9492" wp14:editId="3C83853F">
            <wp:extent cx="628131" cy="67627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75" cy="70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Tahoma"/>
          <w:b/>
          <w:bCs/>
          <w:iCs/>
          <w:sz w:val="28"/>
          <w:szCs w:val="28"/>
          <w:lang w:bidi="ar-SA"/>
        </w:rPr>
        <w:tab/>
        <w:t xml:space="preserve">             B u r m i s t r z  M i a s t a  K a m i e n n a  G ó r a</w:t>
      </w:r>
    </w:p>
    <w:p w14:paraId="1DE1795F" w14:textId="77777777" w:rsidR="00133F09" w:rsidRDefault="00133F09" w:rsidP="00133F09">
      <w:pPr>
        <w:pStyle w:val="Nagwek"/>
        <w:jc w:val="center"/>
        <w:rPr>
          <w:rFonts w:eastAsia="Calibri" w:cs="Tahoma"/>
          <w:iCs/>
          <w:lang w:bidi="ar-SA"/>
        </w:rPr>
      </w:pPr>
      <w:r>
        <w:rPr>
          <w:rFonts w:eastAsia="Calibri" w:cs="Tahoma"/>
          <w:iCs/>
          <w:lang w:bidi="ar-SA"/>
        </w:rPr>
        <w:t xml:space="preserve"> Pl. Grunwaldzki 1; 58-400 Kamienna Góra</w:t>
      </w:r>
    </w:p>
    <w:p w14:paraId="6DF9FD56" w14:textId="77777777" w:rsidR="00133F09" w:rsidRDefault="00133F09" w:rsidP="00133F09">
      <w:pPr>
        <w:pStyle w:val="Nagwek"/>
        <w:jc w:val="center"/>
        <w:rPr>
          <w:rFonts w:eastAsia="Calibri" w:cs="Tahoma"/>
          <w:iCs/>
          <w:lang w:bidi="ar-SA"/>
        </w:rPr>
      </w:pPr>
      <w:r>
        <w:rPr>
          <w:rFonts w:eastAsia="Calibri" w:cs="Tahoma"/>
          <w:iCs/>
          <w:lang w:bidi="ar-SA"/>
        </w:rPr>
        <w:t xml:space="preserve"> tel.(075) 64 55 127, fax. (075) 64 55 150</w:t>
      </w:r>
    </w:p>
    <w:p w14:paraId="2A78C58E" w14:textId="77777777" w:rsidR="00133F09" w:rsidRDefault="005111E7" w:rsidP="00133F09">
      <w:pPr>
        <w:pStyle w:val="Nagwek"/>
        <w:jc w:val="center"/>
      </w:pPr>
      <w:hyperlink r:id="rId6" w:history="1">
        <w:r w:rsidR="00133F09">
          <w:rPr>
            <w:rStyle w:val="Internetlink"/>
            <w:rFonts w:eastAsia="Calibri" w:cs="Calibri"/>
            <w:lang w:bidi="ar-SA"/>
          </w:rPr>
          <w:t>www.kamiennagora.pl    e-mail: sekretariat@kamiennagora.pl</w:t>
        </w:r>
      </w:hyperlink>
    </w:p>
    <w:p w14:paraId="763F8F0E" w14:textId="77777777" w:rsidR="00133F09" w:rsidRPr="00126A0E" w:rsidRDefault="00133F09" w:rsidP="00133F09">
      <w:pPr>
        <w:pStyle w:val="Nagwek"/>
        <w:jc w:val="center"/>
        <w:rPr>
          <w:rFonts w:eastAsia="Calibri" w:cs="Calibri"/>
          <w:sz w:val="28"/>
          <w:szCs w:val="28"/>
          <w:lang w:bidi="ar-SA"/>
        </w:rPr>
      </w:pPr>
      <w:r>
        <w:rPr>
          <w:rFonts w:eastAsia="Calibri" w:cs="Calibr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9BA46B" wp14:editId="19FF713E">
                <wp:simplePos x="0" y="0"/>
                <wp:positionH relativeFrom="column">
                  <wp:posOffset>321840</wp:posOffset>
                </wp:positionH>
                <wp:positionV relativeFrom="paragraph">
                  <wp:posOffset>103680</wp:posOffset>
                </wp:positionV>
                <wp:extent cx="5114880" cy="360"/>
                <wp:effectExtent l="0" t="0" r="28620" b="3774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880" cy="3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D65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5.35pt;margin-top:8.15pt;width:402.75pt;height: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" strokeweight=".26mm">
                <v:stroke joinstyle="miter"/>
              </v:shape>
            </w:pict>
          </mc:Fallback>
        </mc:AlternateContent>
      </w:r>
    </w:p>
    <w:p w14:paraId="7F600E4F" w14:textId="77777777" w:rsidR="00133F09" w:rsidRDefault="00133F09" w:rsidP="00133F09">
      <w:pPr>
        <w:pStyle w:val="Nagwek"/>
        <w:jc w:val="both"/>
        <w:rPr>
          <w:rFonts w:eastAsia="Calibri" w:cs="Calibri"/>
          <w:sz w:val="22"/>
          <w:szCs w:val="22"/>
          <w:u w:val="single"/>
          <w:lang w:bidi="ar-SA"/>
        </w:rPr>
      </w:pPr>
    </w:p>
    <w:p w14:paraId="2311E137" w14:textId="77777777" w:rsidR="00133F09" w:rsidRPr="004534F9" w:rsidRDefault="00133F09" w:rsidP="00133F0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Załącznik </w:t>
      </w:r>
    </w:p>
    <w:p w14:paraId="7FF9BFD6" w14:textId="395CBD18" w:rsidR="00133F09" w:rsidRPr="004534F9" w:rsidRDefault="00133F09" w:rsidP="00133F0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do zarządzenia nr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180</w:t>
      </w: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>/202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1</w:t>
      </w:r>
    </w:p>
    <w:p w14:paraId="2B41722C" w14:textId="77777777" w:rsidR="00133F09" w:rsidRPr="004534F9" w:rsidRDefault="00133F09" w:rsidP="00133F0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Burmistrza Miasta Kamienna Góra</w:t>
      </w:r>
    </w:p>
    <w:p w14:paraId="08C5DE86" w14:textId="40A3371A" w:rsidR="00133F09" w:rsidRPr="004534F9" w:rsidRDefault="00133F09" w:rsidP="00133F0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z dnia 1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7</w:t>
      </w: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>.0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5</w:t>
      </w: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>.202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1</w:t>
      </w: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r.</w:t>
      </w:r>
    </w:p>
    <w:p w14:paraId="29F67AAC" w14:textId="77777777" w:rsidR="00133F09" w:rsidRPr="004534F9" w:rsidRDefault="00133F09" w:rsidP="00133F0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FCCD09A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F6BA606" w14:textId="77777777" w:rsidR="00133F09" w:rsidRPr="004534F9" w:rsidRDefault="00133F09" w:rsidP="0013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u w:val="single"/>
          <w:lang w:eastAsia="pl-PL"/>
        </w:rPr>
        <w:t>OGŁOSZENIE</w:t>
      </w:r>
    </w:p>
    <w:p w14:paraId="7FCCF43D" w14:textId="77777777" w:rsidR="00133F09" w:rsidRPr="004534F9" w:rsidRDefault="00133F09" w:rsidP="00133F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eastAsia="pl-PL"/>
        </w:rPr>
      </w:pPr>
    </w:p>
    <w:p w14:paraId="74C2D3F9" w14:textId="77777777" w:rsidR="00133F09" w:rsidRPr="004534F9" w:rsidRDefault="00133F09" w:rsidP="00133F0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eastAsia="pl-PL"/>
        </w:rPr>
      </w:pPr>
    </w:p>
    <w:p w14:paraId="714AF58F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Burmistrz Miasta Kamienna Góra ogłasza otwarty konkurs ofert na realizację zadania publicznego z zakresu wychowania przedszkolnego w Kamiennej Górze. </w:t>
      </w:r>
    </w:p>
    <w:p w14:paraId="63BB63C3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14:paraId="26EF1093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1. Cel konkursu</w:t>
      </w:r>
    </w:p>
    <w:p w14:paraId="3C5B9DFC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21C8AA6F" w14:textId="1A48F26C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Celem zadania jest zapewnienie możliwości korzystania z wychowania przedszkolnego (na warunkach takich jak w przedszkolach publicznych prowadzonych przez Gminę Miejską Kamienna Góra) dzieciom w wieku przedszkolnym – mieszkańcom Miasta Kamienna Góra, którym pomimo wzięcia udziału w procesie rekrutacji do przedszkoli publicznych na rok szkolny 202</w:t>
      </w:r>
      <w:r>
        <w:rPr>
          <w:rFonts w:ascii="Times New Roman" w:eastAsia="Calibri" w:hAnsi="Times New Roman" w:cs="Times New Roman"/>
          <w:sz w:val="24"/>
          <w:lang w:eastAsia="pl-PL"/>
        </w:rPr>
        <w:t>1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>/202</w:t>
      </w:r>
      <w:r>
        <w:rPr>
          <w:rFonts w:ascii="Times New Roman" w:eastAsia="Calibri" w:hAnsi="Times New Roman" w:cs="Times New Roman"/>
          <w:sz w:val="24"/>
          <w:lang w:eastAsia="pl-PL"/>
        </w:rPr>
        <w:t>2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nie zostały zapewnione miejsca w samorządowych przedszkolach.</w:t>
      </w:r>
    </w:p>
    <w:p w14:paraId="2A3F2EA8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4ED9DB3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2. Wysokość środków przeznaczonych na realizację zadania, w tym wysokość planowanej dotacji w przeliczeniu na jedno dziecko objęte wychowaniem przedszkolnym</w:t>
      </w:r>
    </w:p>
    <w:p w14:paraId="3AC7BE7C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1BE36873" w14:textId="4597F161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W roku szkolnym 202</w:t>
      </w:r>
      <w:r>
        <w:rPr>
          <w:rFonts w:ascii="Times New Roman" w:eastAsia="Calibri" w:hAnsi="Times New Roman" w:cs="Times New Roman"/>
          <w:sz w:val="24"/>
          <w:lang w:eastAsia="pl-PL"/>
        </w:rPr>
        <w:t>1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>/202</w:t>
      </w:r>
      <w:r>
        <w:rPr>
          <w:rFonts w:ascii="Times New Roman" w:eastAsia="Calibri" w:hAnsi="Times New Roman" w:cs="Times New Roman"/>
          <w:sz w:val="24"/>
          <w:lang w:eastAsia="pl-PL"/>
        </w:rPr>
        <w:t>2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– ok. </w:t>
      </w:r>
      <w:r w:rsidR="00823E66">
        <w:rPr>
          <w:rFonts w:ascii="Times New Roman" w:eastAsia="Calibri" w:hAnsi="Times New Roman" w:cs="Times New Roman"/>
          <w:sz w:val="24"/>
          <w:lang w:eastAsia="pl-PL"/>
        </w:rPr>
        <w:t>455.000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zł </w:t>
      </w:r>
      <w:r w:rsidR="00823E66">
        <w:rPr>
          <w:rFonts w:ascii="Times New Roman" w:eastAsia="Calibri" w:hAnsi="Times New Roman" w:cs="Times New Roman"/>
          <w:sz w:val="24"/>
          <w:lang w:eastAsia="pl-PL"/>
        </w:rPr>
        <w:t xml:space="preserve">; </w:t>
      </w:r>
      <w:r w:rsidR="003113A8">
        <w:rPr>
          <w:rFonts w:ascii="Times New Roman" w:eastAsia="Calibri" w:hAnsi="Times New Roman" w:cs="Times New Roman"/>
          <w:sz w:val="24"/>
          <w:lang w:eastAsia="pl-PL"/>
        </w:rPr>
        <w:t>12.993 zł/ 1 dziecko/ 1 rok</w:t>
      </w:r>
    </w:p>
    <w:p w14:paraId="7E2ACF9A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14:paraId="4B6B4041" w14:textId="56EA992F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Wysokość dotacji na każde dziecko, uczęszczające do przedszkola niepublicznego</w:t>
      </w:r>
      <w:bookmarkStart w:id="0" w:name="_Hlk50979576"/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/ </w:t>
      </w:r>
      <w:bookmarkStart w:id="1" w:name="_Hlk50981271"/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szkoły podstawowej, w której zorganizowano oddział przedszkolny / innej formy wychowania przedszkolnego </w:t>
      </w:r>
      <w:bookmarkEnd w:id="1"/>
      <w:r w:rsidRPr="004534F9">
        <w:rPr>
          <w:rFonts w:ascii="Times New Roman" w:eastAsia="Calibri" w:hAnsi="Times New Roman" w:cs="Times New Roman"/>
          <w:sz w:val="24"/>
          <w:lang w:eastAsia="pl-PL"/>
        </w:rPr>
        <w:t>wyłonionego w otwartym konkursie ofert</w:t>
      </w:r>
      <w:bookmarkEnd w:id="0"/>
      <w:r w:rsidRPr="004534F9">
        <w:rPr>
          <w:rFonts w:ascii="Times New Roman" w:eastAsia="Calibri" w:hAnsi="Times New Roman" w:cs="Times New Roman"/>
          <w:sz w:val="24"/>
          <w:lang w:eastAsia="pl-PL"/>
        </w:rPr>
        <w:t>, będzie udzielana w wysokości określonej odpowiednio w art. 17 ust. 1, art. 19 ust. 1, 21 ust. 1 ustawy o finansowaniu zadań oświatowych, z tym że na ucznia niepełnosprawnego w wysokości nie niższej niż kwota przewidziana na takiego ucznia w części oświatowej subwencji ogólnej dla Gminy Miejskiej Kamienna Góra. W przypadku, w którym zgodnie z art. 127 ust. 5 ustawy – Prawo oświatowe przedszkole/ szkoła podstawowa, w której zorganizowano oddział przedszkolny / inna forma wychowania przedszkolnego</w:t>
      </w:r>
      <w:r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będzie prowadzić wczesne wspomaganie rozwoju dziecka, otrzyma na każde dziecko objęte wczesnym wspomaganiem rozwoju, niezależnie od dotacji, o których mowa powyżej dotację z budżetu Gminy w wysokości równej kwocie przewidzianej na takie dziecko w części oświatowej subwencji ogólnej dla gminy ( art. 15 ustawy o finansowaniu zadań oświatowych). </w:t>
      </w:r>
    </w:p>
    <w:p w14:paraId="6C8CDA72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72A549A3" w14:textId="77777777" w:rsidR="00133F0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4A06E6BA" w14:textId="77777777" w:rsidR="00133F0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05CE58CC" w14:textId="77777777" w:rsidR="00133F0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58313AD0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lastRenderedPageBreak/>
        <w:t>§ 3. Zasady przyznawania dotacji</w:t>
      </w:r>
    </w:p>
    <w:p w14:paraId="73AA19F2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5FB257B1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O przyznanie dotacji ubiegać się mogą osoby fizyczne i osoby prawne prowadzące przedszkola niepubliczne/szkoły podstawowe, w których zorganizowano oddział przedszkolny / inne formy wychowania przedszkolnego na terenie Miasta Kamienna Góra, z wyłączeniem przedszkoli integracyjnych, wpisane do ewidencji szkół i placówek niepublicznych prowadzonej przez Gminę Miejską Kamienna Góra.</w:t>
      </w:r>
    </w:p>
    <w:p w14:paraId="57DB0807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Dotacja jest przyznawana na realizację zadania na zasadach określonych powyżej i może być wydatkowana zgodnie z art. 35 ustawy o finansowaniu zadań oświatowych.</w:t>
      </w:r>
    </w:p>
    <w:p w14:paraId="08CFCF82" w14:textId="77777777" w:rsidR="00133F09" w:rsidRPr="004534F9" w:rsidRDefault="00133F09" w:rsidP="00133F09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Warunkiem ubiegania się o przyznanie dotacji jest złożenie oferty według wzoru stanowiącego załącznik nr 1 do ogłoszenia oraz załączników określonych § 6 ogłoszenia.</w:t>
      </w:r>
    </w:p>
    <w:p w14:paraId="27587556" w14:textId="77777777" w:rsidR="00133F09" w:rsidRPr="004534F9" w:rsidRDefault="00133F09" w:rsidP="00133F09">
      <w:pPr>
        <w:numPr>
          <w:ilvl w:val="0"/>
          <w:numId w:val="1"/>
        </w:numPr>
        <w:tabs>
          <w:tab w:val="num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Dotacja będzie udzielana i rozliczana w trybie określonym w uchwale nr XLVI/304/18 Rady Miasta Kamienna Góra z dnia 25 kwietnia 2018 r. w sprawie ustalenia trybu udzielania i rozliczania dotacji z budżetu Gminy Miejskiej Kamienna Góra dla niepublicznych szkół o uprawnieniach szkół publicznych, w których jest realizowany obowiązek szkolny, dla niepublicznych przedszkoli i niepublicznych innych form wychowania przedszkolnego działających na terenie Gminy Miejskiej Kamienna Góra, prowadzonych przez osoby prawne lub fizyczne oraz trybu przeprowadzania kontroli prawidłowości ich pobrania i wykorzystania</w:t>
      </w:r>
    </w:p>
    <w:p w14:paraId="079A262F" w14:textId="77777777" w:rsidR="00133F09" w:rsidRPr="004534F9" w:rsidRDefault="00133F09" w:rsidP="00133F0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Dotacja udzielana będzie w ratach na podstawie informacji miesięcznej o faktycznej liczbie uczniów.</w:t>
      </w:r>
    </w:p>
    <w:p w14:paraId="3FB7868E" w14:textId="77777777" w:rsidR="00133F09" w:rsidRPr="004534F9" w:rsidRDefault="00133F09" w:rsidP="00133F09">
      <w:pPr>
        <w:spacing w:after="0" w:line="240" w:lineRule="auto"/>
        <w:ind w:left="720" w:hanging="6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    </w:t>
      </w:r>
    </w:p>
    <w:p w14:paraId="7EB1D93D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4. Zakres, termin i warunki realizacji zadania</w:t>
      </w:r>
    </w:p>
    <w:p w14:paraId="07E7E955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eastAsia="pl-PL"/>
        </w:rPr>
      </w:pPr>
    </w:p>
    <w:p w14:paraId="66EF1235" w14:textId="52848B48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Termin realizacji zadania: od </w:t>
      </w:r>
      <w:r w:rsidR="003113A8">
        <w:rPr>
          <w:rFonts w:ascii="Times New Roman" w:eastAsia="Calibri" w:hAnsi="Times New Roman" w:cs="Times New Roman"/>
          <w:sz w:val="24"/>
          <w:lang w:eastAsia="pl-PL"/>
        </w:rPr>
        <w:t>1 września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202</w:t>
      </w:r>
      <w:r w:rsidR="003113A8">
        <w:rPr>
          <w:rFonts w:ascii="Times New Roman" w:eastAsia="Calibri" w:hAnsi="Times New Roman" w:cs="Times New Roman"/>
          <w:sz w:val="24"/>
          <w:lang w:eastAsia="pl-PL"/>
        </w:rPr>
        <w:t>1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r. do 31 sierpnia 202</w:t>
      </w:r>
      <w:r w:rsidR="003113A8">
        <w:rPr>
          <w:rFonts w:ascii="Times New Roman" w:eastAsia="Calibri" w:hAnsi="Times New Roman" w:cs="Times New Roman"/>
          <w:sz w:val="24"/>
          <w:lang w:eastAsia="pl-PL"/>
        </w:rPr>
        <w:t>2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r.</w:t>
      </w:r>
    </w:p>
    <w:p w14:paraId="7C9A5B29" w14:textId="77777777" w:rsidR="00133F09" w:rsidRPr="004534F9" w:rsidRDefault="00133F09" w:rsidP="00133F0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Miejsce realizacji zadania: Miasto Kamienna Góra</w:t>
      </w:r>
    </w:p>
    <w:p w14:paraId="48A820EA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Z podmiotem, który będzie realizował zadanie, zostanie podpisane porozumienie w sprawie powierzenia realizacji zadania publicznego z zakresu wychowania przedszkolnego. </w:t>
      </w:r>
    </w:p>
    <w:p w14:paraId="750395EF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14:paraId="259BE55E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5. Termin i miejsce składania ofert</w:t>
      </w:r>
    </w:p>
    <w:p w14:paraId="68BAFE38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68B79796" w14:textId="21B92105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Termin składania ofert upływa po 21 dniach od daty zamieszczenia ogłoszenia o konkursie w Biuletynie Informacji Publicznej Urzędu Miasta Kamienna Góra, na stronie internetowej Urzędu Miasta Kamienna Góra tj. </w:t>
      </w:r>
      <w:hyperlink r:id="rId7" w:history="1">
        <w:r w:rsidRPr="004534F9">
          <w:rPr>
            <w:rFonts w:ascii="Times New Roman" w:eastAsia="Calibri" w:hAnsi="Times New Roman" w:cs="Times New Roman"/>
            <w:color w:val="0563C1" w:themeColor="hyperlink"/>
            <w:sz w:val="24"/>
            <w:u w:val="single"/>
            <w:lang w:eastAsia="pl-PL"/>
          </w:rPr>
          <w:t>www.kamiennagora.pl</w:t>
        </w:r>
      </w:hyperlink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 oraz na tablicy ogłoszeń w siedzibie Urzędu Miasta Kamienna Góra ( 58 – 400  Kamienna Góra pl. Grunwaldzki 1) tj. </w:t>
      </w:r>
      <w:r w:rsidRPr="004534F9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dnia </w:t>
      </w:r>
      <w:r w:rsidR="003158FD">
        <w:rPr>
          <w:rFonts w:ascii="Times New Roman" w:eastAsia="Calibri" w:hAnsi="Times New Roman" w:cs="Times New Roman"/>
          <w:b/>
          <w:bCs/>
          <w:sz w:val="24"/>
          <w:lang w:eastAsia="pl-PL"/>
        </w:rPr>
        <w:t>8</w:t>
      </w:r>
      <w:r w:rsidRPr="004534F9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</w:t>
      </w:r>
      <w:r w:rsidR="003113A8">
        <w:rPr>
          <w:rFonts w:ascii="Times New Roman" w:eastAsia="Calibri" w:hAnsi="Times New Roman" w:cs="Times New Roman"/>
          <w:b/>
          <w:bCs/>
          <w:sz w:val="24"/>
          <w:lang w:eastAsia="pl-PL"/>
        </w:rPr>
        <w:t>czerwca</w:t>
      </w:r>
      <w:r w:rsidRPr="004534F9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202</w:t>
      </w:r>
      <w:r w:rsidR="003113A8">
        <w:rPr>
          <w:rFonts w:ascii="Times New Roman" w:eastAsia="Calibri" w:hAnsi="Times New Roman" w:cs="Times New Roman"/>
          <w:b/>
          <w:bCs/>
          <w:sz w:val="24"/>
          <w:lang w:eastAsia="pl-PL"/>
        </w:rPr>
        <w:t>1</w:t>
      </w:r>
      <w:r w:rsidRPr="004534F9">
        <w:rPr>
          <w:rFonts w:ascii="Times New Roman" w:eastAsia="Calibri" w:hAnsi="Times New Roman" w:cs="Times New Roman"/>
          <w:b/>
          <w:bCs/>
          <w:sz w:val="24"/>
          <w:lang w:eastAsia="pl-PL"/>
        </w:rPr>
        <w:t>.</w:t>
      </w:r>
    </w:p>
    <w:p w14:paraId="663F4F40" w14:textId="77D1AD1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Ofertę wraz z załącznikami należy składać w Biurze Obsługi Klienta Urzędu Miasta Kamienna Góra,</w:t>
      </w:r>
      <w:r w:rsidR="003113A8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>58 – 400 Kamienna Góra pl. Grunwaldzki 1</w:t>
      </w:r>
      <w:r w:rsidR="003113A8">
        <w:rPr>
          <w:rFonts w:ascii="Times New Roman" w:eastAsia="Calibri" w:hAnsi="Times New Roman" w:cs="Times New Roman"/>
          <w:sz w:val="24"/>
          <w:lang w:eastAsia="pl-PL"/>
        </w:rPr>
        <w:t>, poprzez umieszczenie dokumentów w urnie znajdującej się</w:t>
      </w:r>
      <w:r w:rsidR="00D77D4F">
        <w:rPr>
          <w:rFonts w:ascii="Times New Roman" w:eastAsia="Calibri" w:hAnsi="Times New Roman" w:cs="Times New Roman"/>
          <w:sz w:val="24"/>
          <w:lang w:eastAsia="pl-PL"/>
        </w:rPr>
        <w:t xml:space="preserve"> przed budynkiem urzędu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lub przesyłką listową na powyższy adres, przy czym o zachowaniu terminu decyduje data wpływu przesyłki do Urzędu Miasta Kamienna Góra.</w:t>
      </w:r>
    </w:p>
    <w:p w14:paraId="25D02A76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Oferty wraz z załącznikami należy składać w opisanych kopertach: nazwa i adres oferenta, nazwa zadania publicznego:</w:t>
      </w:r>
    </w:p>
    <w:p w14:paraId="3DF9AD09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„Oferta na realizację zadania publicznego z zakresu wychowania przedszkolnego”.</w:t>
      </w:r>
    </w:p>
    <w:p w14:paraId="2E7006A4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Oferty, które wpłyną po ww. terminie, nie będą podlegać ocenie.</w:t>
      </w:r>
    </w:p>
    <w:p w14:paraId="1ABB8949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278E88D7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6. Wymagane dokumenty</w:t>
      </w:r>
    </w:p>
    <w:p w14:paraId="22247959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14:paraId="6C500B9E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Oferenci zobowiązani są do złożenia następujących dokumentów:</w:t>
      </w:r>
    </w:p>
    <w:p w14:paraId="55DAA6C1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 xml:space="preserve">1) oferta realizacji zadania publicznego z zakresu wychowania przedszkolnego, podpisana przez osoby upoważnione do składania oświadczeń woli w imieniu organu prowadzącego </w:t>
      </w: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lastRenderedPageBreak/>
        <w:t>przedszkole niepubliczne, niepubliczną szkołę podstawową, w której zorganizowano oddział przedszkolny, niepubliczny punkt przedszkolny a w przypadku prowadzenia podmiotu przez kilka osób fizycznych – podpisana przez wszystkie te osoby. Formularz oferty stanowi załącznik Nr 1 do ogłoszenia,</w:t>
      </w:r>
    </w:p>
    <w:p w14:paraId="403C2BC8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2) kopia aktualnego odpisu z Krajowego Rejestru Sądowego w przypadku, gdy organ prowadzący jest osobą prawną lub wydruk z CEIDG,</w:t>
      </w:r>
    </w:p>
    <w:p w14:paraId="5F68602F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3) dokument potwierdzający upoważnienie do działania w imieniu oferenta w przypadku podpisania oferty przez osoby upoważnione przez organ prowadzący,</w:t>
      </w:r>
    </w:p>
    <w:p w14:paraId="423EE4AF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4) zobowiązanie, o którym mowa w art. 22 ust. 2 ustawy o finansowaniu zadań oświatowych, według wzoru stanowiącego załącznik Nr 2 do ogłoszenia,</w:t>
      </w:r>
    </w:p>
    <w:p w14:paraId="01D7DFD9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5) oświadczenie o posiadaniu prawa do zajmowania lokalu (lokali), w którym (których) realizowane ma być zadanie, z podaniem tytułu prawnego do dysponowania lokalem (akt własności, umowa najmu, umowa użyczenia, porozumienie w sprawie udostępnienia lokalu).</w:t>
      </w:r>
    </w:p>
    <w:p w14:paraId="51B34C3E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2. Poza załącznikami wymienionymi w ust. 1 oferent może dołączyć zdjęcia pomieszczeń w których będzie realizowane zadanie, w tym kuchni, jadalni, placu zabaw.</w:t>
      </w:r>
    </w:p>
    <w:p w14:paraId="6680BA25" w14:textId="77777777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14:paraId="73720331" w14:textId="77777777" w:rsidR="00133F09" w:rsidRPr="004534F9" w:rsidRDefault="00133F09" w:rsidP="00133F09">
      <w:pPr>
        <w:spacing w:after="0" w:line="240" w:lineRule="auto"/>
        <w:ind w:left="330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77F16243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7. Tryb i kryteria stosowane przy wyborze ofert oraz termin dokonania wyboru ofert</w:t>
      </w:r>
    </w:p>
    <w:p w14:paraId="0253A119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5D580031" w14:textId="77777777" w:rsidR="00133F09" w:rsidRPr="004534F9" w:rsidRDefault="00133F09" w:rsidP="00133F09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Oferty oceniane będą w trybie i według kryteriów zawartych w uchwale nr XXVII/174/20 Rady Miasta Kamienna Góra z dnia 11 września 2020 r.  w sprawie określenia Regulaminu otwartego konkursu ofert na realizację zadania publicznego z zakresu wychowania przedszkolnego tj. </w:t>
      </w:r>
    </w:p>
    <w:p w14:paraId="140C35EB" w14:textId="77777777" w:rsidR="00133F09" w:rsidRPr="004534F9" w:rsidRDefault="00133F09" w:rsidP="00133F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1) godziny otwarcia przedszkola lub innej formy wychowania przedszkolnego; </w:t>
      </w:r>
    </w:p>
    <w:p w14:paraId="337D21E2" w14:textId="77777777" w:rsidR="00133F09" w:rsidRPr="004534F9" w:rsidRDefault="00133F09" w:rsidP="00133F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2) organizację wyżywienia w przedszkolu lub innej formie wychowania przedszkolnego; </w:t>
      </w:r>
    </w:p>
    <w:p w14:paraId="6289A6B4" w14:textId="77777777" w:rsidR="00133F09" w:rsidRPr="004534F9" w:rsidRDefault="00133F09" w:rsidP="00133F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3) warunki lokalowe i wyposażenie przedszkola lub innej formy wychowania przedszkolnego z uwzględnieniem zewnętrznych elementów infrastruktury,                                       w szczególności placu zabaw i ogrodu; </w:t>
      </w:r>
    </w:p>
    <w:p w14:paraId="55CD2BCB" w14:textId="77777777" w:rsidR="00133F09" w:rsidRPr="004534F9" w:rsidRDefault="00133F09" w:rsidP="00133F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4) kwalifikacje kadry pedagogicznej; </w:t>
      </w:r>
    </w:p>
    <w:p w14:paraId="3B15F3DF" w14:textId="77777777" w:rsidR="00133F09" w:rsidRPr="004534F9" w:rsidRDefault="00133F09" w:rsidP="00133F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5) zapewnianie przez przedszkole lub inną formę wychowania przedszkolnego oferty edukacyjnej dla dzieci z dysfunkcjami rozwojowymi;</w:t>
      </w:r>
    </w:p>
    <w:p w14:paraId="543985C8" w14:textId="77777777" w:rsidR="00133F09" w:rsidRPr="004534F9" w:rsidRDefault="00133F09" w:rsidP="00133F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6) zapewnianie przez przedszkole lub inną formę wychowania przedszkolnego                    dodatkowych zajęć realizowanych poza podstawą programową wychowania przedszkolnego.</w:t>
      </w:r>
    </w:p>
    <w:p w14:paraId="3DCE2658" w14:textId="7C022772" w:rsidR="00133F09" w:rsidRPr="004534F9" w:rsidRDefault="00133F09" w:rsidP="00133F09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Rozstrzygnięcie otwartego konkursu ofert nastąpi do dnia </w:t>
      </w:r>
      <w:r w:rsidR="00D77D4F">
        <w:rPr>
          <w:rFonts w:ascii="Times New Roman" w:eastAsia="Calibri" w:hAnsi="Times New Roman" w:cs="Times New Roman"/>
          <w:sz w:val="24"/>
          <w:lang w:eastAsia="pl-PL"/>
        </w:rPr>
        <w:t>15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D77D4F">
        <w:rPr>
          <w:rFonts w:ascii="Times New Roman" w:eastAsia="Calibri" w:hAnsi="Times New Roman" w:cs="Times New Roman"/>
          <w:sz w:val="24"/>
          <w:lang w:eastAsia="pl-PL"/>
        </w:rPr>
        <w:t>czerwca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202</w:t>
      </w:r>
      <w:r w:rsidR="00D77D4F">
        <w:rPr>
          <w:rFonts w:ascii="Times New Roman" w:eastAsia="Calibri" w:hAnsi="Times New Roman" w:cs="Times New Roman"/>
          <w:sz w:val="24"/>
          <w:lang w:eastAsia="pl-PL"/>
        </w:rPr>
        <w:t>1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r. </w:t>
      </w:r>
    </w:p>
    <w:p w14:paraId="28A1CBE5" w14:textId="77777777" w:rsidR="00133F09" w:rsidRPr="004534F9" w:rsidRDefault="00133F09" w:rsidP="00133F09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3. Wyniki otwartego konkursu ofert zostaną podane do wiadomości publicznej (w Biuletynie  Informacji Publicznej Urzędu Miasta Kamienna Góra, na tablicy ogłoszeń Urzędu Miasta Kamienna Góra, na stronie internetowej: www.kamiennagora.pl).</w:t>
      </w:r>
    </w:p>
    <w:p w14:paraId="6217E66F" w14:textId="77777777" w:rsidR="00133F09" w:rsidRPr="004534F9" w:rsidRDefault="00133F09" w:rsidP="00133F09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4.   Burmistrz Miasta Kamienna Góra może odstąpić od rozstrzygnięcia otwartego konkursu ofert. Informację o tym podaje do publicznej wiadomości w sposób określony w ust. 3.</w:t>
      </w:r>
    </w:p>
    <w:p w14:paraId="49F00CC9" w14:textId="77777777" w:rsidR="00133F09" w:rsidRPr="004534F9" w:rsidRDefault="00133F09" w:rsidP="00133F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</w:p>
    <w:p w14:paraId="19275A68" w14:textId="77777777" w:rsidR="00133F09" w:rsidRPr="004534F9" w:rsidRDefault="00133F09" w:rsidP="00133F09">
      <w:pPr>
        <w:spacing w:after="0" w:line="240" w:lineRule="auto"/>
        <w:ind w:left="540" w:hanging="540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8.  Maksymalna liczba wolnych miejsc zamierza pozyskać w wyniku przeprowadzenia otwartego konkursu ofert</w:t>
      </w:r>
    </w:p>
    <w:p w14:paraId="15C40407" w14:textId="77777777" w:rsidR="00133F09" w:rsidRPr="004534F9" w:rsidRDefault="00133F09" w:rsidP="00133F09">
      <w:pPr>
        <w:spacing w:after="0" w:line="240" w:lineRule="auto"/>
        <w:ind w:left="540" w:hanging="540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1BDB3585" w14:textId="2B056A31" w:rsidR="00133F09" w:rsidRPr="004534F9" w:rsidRDefault="00133F09" w:rsidP="0013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Łącznie w wyniku otwartego konkursu ofert Gmina Miejska Kamienna Góra zamierza pozyskać około </w:t>
      </w:r>
      <w:r w:rsidR="00A11CEE">
        <w:rPr>
          <w:rFonts w:ascii="Times New Roman" w:eastAsia="Calibri" w:hAnsi="Times New Roman" w:cs="Times New Roman"/>
          <w:sz w:val="24"/>
          <w:lang w:eastAsia="pl-PL"/>
        </w:rPr>
        <w:t>35</w:t>
      </w: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wolnych miejsc.</w:t>
      </w:r>
    </w:p>
    <w:p w14:paraId="43A0F2E7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14:paraId="10935B9E" w14:textId="77777777" w:rsidR="00133F09" w:rsidRPr="004534F9" w:rsidRDefault="00133F09" w:rsidP="00133F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02E6BC2" w14:textId="77777777" w:rsidR="00133F09" w:rsidRPr="004534F9" w:rsidRDefault="00133F09" w:rsidP="00133F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pl-PL"/>
        </w:rPr>
      </w:pPr>
    </w:p>
    <w:p w14:paraId="0FE89D2A" w14:textId="77777777" w:rsidR="00133F09" w:rsidRPr="009060D8" w:rsidRDefault="00133F09" w:rsidP="00133F09">
      <w:pPr>
        <w:rPr>
          <w:rFonts w:ascii="Times New Roman" w:hAnsi="Times New Roman" w:cs="Times New Roman"/>
        </w:rPr>
      </w:pPr>
    </w:p>
    <w:p w14:paraId="69E203C3" w14:textId="77777777" w:rsidR="00133F09" w:rsidRPr="009060D8" w:rsidRDefault="00133F09" w:rsidP="00133F09">
      <w:pPr>
        <w:rPr>
          <w:rFonts w:ascii="Times New Roman" w:hAnsi="Times New Roman" w:cs="Times New Roman"/>
        </w:rPr>
      </w:pPr>
    </w:p>
    <w:p w14:paraId="1EB73E31" w14:textId="77777777" w:rsidR="00133F09" w:rsidRPr="009060D8" w:rsidRDefault="00133F09" w:rsidP="00133F09">
      <w:pPr>
        <w:rPr>
          <w:rFonts w:ascii="Times New Roman" w:hAnsi="Times New Roman" w:cs="Times New Roman"/>
        </w:rPr>
      </w:pPr>
    </w:p>
    <w:p w14:paraId="76D9AE7F" w14:textId="77777777" w:rsidR="00133F09" w:rsidRPr="006E7036" w:rsidRDefault="00133F09" w:rsidP="00133F09">
      <w:pPr>
        <w:rPr>
          <w:rFonts w:ascii="Times New Roman" w:hAnsi="Times New Roman" w:cs="Times New Roman"/>
        </w:rPr>
      </w:pPr>
    </w:p>
    <w:p w14:paraId="18083008" w14:textId="77777777" w:rsidR="00133F09" w:rsidRDefault="00133F09" w:rsidP="00133F09"/>
    <w:p w14:paraId="0D2759FB" w14:textId="77777777" w:rsidR="00133F09" w:rsidRDefault="00133F09" w:rsidP="00133F09"/>
    <w:p w14:paraId="39B3B911" w14:textId="77777777" w:rsidR="00133F09" w:rsidRDefault="00133F09" w:rsidP="00133F09"/>
    <w:p w14:paraId="6433F770" w14:textId="77777777" w:rsidR="00F27E10" w:rsidRDefault="005111E7"/>
    <w:sectPr w:rsidR="00F2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F0C81"/>
    <w:multiLevelType w:val="hybridMultilevel"/>
    <w:tmpl w:val="E7B6D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B3649C"/>
    <w:multiLevelType w:val="hybridMultilevel"/>
    <w:tmpl w:val="C256EEDE"/>
    <w:lvl w:ilvl="0" w:tplc="C09CCA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09"/>
    <w:rsid w:val="00133F09"/>
    <w:rsid w:val="003113A8"/>
    <w:rsid w:val="003158FD"/>
    <w:rsid w:val="005111E7"/>
    <w:rsid w:val="00823E66"/>
    <w:rsid w:val="00832EDA"/>
    <w:rsid w:val="00A11CEE"/>
    <w:rsid w:val="00B84C9C"/>
    <w:rsid w:val="00D171AF"/>
    <w:rsid w:val="00D77D4F"/>
    <w:rsid w:val="00F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F4D0"/>
  <w15:chartTrackingRefBased/>
  <w15:docId w15:val="{9D0B30D0-B3C1-40FA-9435-D9F56FD6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33F0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133F0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33F0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ienna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iennagora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4</cp:revision>
  <cp:lastPrinted>2021-05-17T07:55:00Z</cp:lastPrinted>
  <dcterms:created xsi:type="dcterms:W3CDTF">2021-05-17T06:47:00Z</dcterms:created>
  <dcterms:modified xsi:type="dcterms:W3CDTF">2021-05-17T08:25:00Z</dcterms:modified>
</cp:coreProperties>
</file>