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 w:val="false"/>
        <w:shd w:val="clear" w:color="auto" w:fill="auto"/>
        <w:bidi w:val="0"/>
        <w:spacing w:lineRule="auto" w:line="240" w:before="120" w:after="280"/>
        <w:ind w:hanging="0" w:left="0" w:right="0"/>
        <w:jc w:val="both"/>
        <w:rPr/>
      </w:pPr>
      <w:bookmarkStart w:id="0" w:name="049f7fdd-14c5-446d-8d27-50b0bb80a2be"/>
      <w:bookmarkEnd w:id="0"/>
      <w:r>
        <w:rPr>
          <w:rStyle w:val="Teksttreci"/>
          <w:rFonts w:ascii="Times New Roman" w:hAnsi="Times New Roman"/>
          <w:sz w:val="24"/>
          <w:szCs w:val="24"/>
          <w:u w:val="none"/>
        </w:rPr>
        <w:t xml:space="preserve">Na podstawie art. 18 ust. 2 pkt 15 ustawy z dnia 8 marca 1990 r. o samorządzie gminnym </w:t>
      </w:r>
      <w:hyperlink r:id="rId2">
        <w:bookmarkStart w:id="1" w:name="59a62ef4-b6b0-49d0-b201-e625523a52d5"/>
        <w:bookmarkEnd w:id="1"/>
        <w:r>
          <w:rPr>
            <w:rStyle w:val="Hyperlink"/>
            <w:rFonts w:eastAsia="Calibri" w:cs="Calibri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4"/>
            <w:szCs w:val="24"/>
            <w:u w:val="none"/>
          </w:rPr>
          <w:t>Dz.U. z 2025 r. poz. 1153 z późn. zm.</w:t>
        </w:r>
      </w:hyperlink>
      <w:r>
        <w:rPr>
          <w:rStyle w:val="Teksttreci"/>
          <w:rFonts w:ascii="Times New Roman" w:hAnsi="Times New Roman"/>
          <w:sz w:val="24"/>
          <w:szCs w:val="24"/>
          <w:u w:val="none"/>
        </w:rPr>
        <w:t xml:space="preserve">), w związku z art. 5a ust. 1 ustawy z dnia 24 kwietnia 2003 r. o działalności pożytku publicznego i o wolontariacie </w:t>
      </w:r>
      <w:hyperlink r:id="rId3">
        <w:bookmarkStart w:id="2" w:name="11f6cc66-0c08-4f0f-97e6-423aa1c52aaf"/>
        <w:bookmarkEnd w:id="2"/>
        <w:r>
          <w:rPr>
            <w:rStyle w:val="Hyperlink"/>
            <w:rFonts w:eastAsia="Calibri" w:cs="Calibri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sz w:val="24"/>
            <w:szCs w:val="24"/>
            <w:u w:val="none"/>
          </w:rPr>
          <w:t>(</w:t>
        </w:r>
      </w:hyperlink>
      <w:bookmarkStart w:id="3" w:name="1dfdc464-4c0f-491f-90da-df871b3ab159"/>
      <w:bookmarkEnd w:id="3"/>
      <w:r>
        <w:rPr>
          <w:rStyle w:val="Teksttreci"/>
          <w:rFonts w:ascii="Times New Roman" w:hAnsi="Times New Roman"/>
          <w:sz w:val="24"/>
          <w:szCs w:val="24"/>
          <w:u w:val="none"/>
        </w:rPr>
        <w:t xml:space="preserve">Dz.U. z 2025 poz. 1338) oraz </w:t>
      </w:r>
      <w:bookmarkStart w:id="4" w:name="c90a27b5-6c90-4d15-a7f6-cb8b49485e46"/>
      <w:bookmarkEnd w:id="4"/>
      <w:r>
        <w:rPr>
          <w:rStyle w:val="Strong"/>
          <w:rFonts w:eastAsia="Calibri" w:cs="Calibri" w:ascii="Times New Roman" w:hAnsi="Times New Roman"/>
          <w:b w:val="false"/>
          <w:bCs w:val="false"/>
          <w:sz w:val="24"/>
          <w:szCs w:val="24"/>
          <w:u w:val="none"/>
        </w:rPr>
        <w:t>Uchwały nr XXI/136/25</w:t>
      </w:r>
      <w:r>
        <w:rPr>
          <w:rStyle w:val="Teksttreci"/>
          <w:rFonts w:ascii="Times New Roman" w:hAnsi="Times New Roman"/>
          <w:sz w:val="24"/>
          <w:szCs w:val="24"/>
          <w:u w:val="none"/>
        </w:rPr>
        <w:t xml:space="preserve"> Rady Miasta Kamienna Góra   z dnia 26 listopada 2025 r. w sprawie przyjęcia „Programu współpracy Gminy Miejskiej Kamienna Góra z organizacjami pozarządowymi i innymi podmiotami prowadzącymi działalność pożytku publicznego na rok 2026”.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Teksttreci"/>
          <w:rFonts w:ascii="Times New Roman" w:hAnsi="Times New Roman"/>
          <w:b/>
          <w:bCs/>
          <w:sz w:val="24"/>
          <w:szCs w:val="24"/>
        </w:rPr>
        <w:t>Burmistrz Miasta Kamienna Góra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Teksttreci"/>
          <w:rFonts w:ascii="Times New Roman" w:hAnsi="Times New Roman"/>
          <w:b/>
          <w:bCs/>
          <w:sz w:val="24"/>
          <w:szCs w:val="24"/>
        </w:rPr>
        <w:t>ogłasza otwarty konkurs ofert na wspieranie wykonywania zadań publicznych</w:t>
        <w:br/>
        <w:t>w obszarze:</w:t>
      </w:r>
    </w:p>
    <w:p>
      <w:pPr>
        <w:pStyle w:val="Teksttreci1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Teksttreci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Teksttreci"/>
          <w:rFonts w:ascii="Times New Roman" w:hAnsi="Times New Roman"/>
          <w:b/>
          <w:bCs/>
          <w:sz w:val="24"/>
          <w:szCs w:val="24"/>
          <w:u w:val="single"/>
        </w:rPr>
        <w:t>KULTURA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Style w:val="Strong"/>
          <w:rFonts w:cs="Arial" w:ascii="Times New Roman" w:hAnsi="Times New Roman" w:cstheme="minorHAnsi"/>
          <w:sz w:val="24"/>
          <w:szCs w:val="24"/>
        </w:rPr>
        <w:t>wraz z udzieleniem dotacji na dofinansowanie ich realizacji w 2026 roku</w:t>
      </w:r>
    </w:p>
    <w:p>
      <w:pPr>
        <w:pStyle w:val="Normal"/>
        <w:spacing w:lineRule="auto" w:line="276"/>
        <w:rPr>
          <w:rFonts w:ascii="Times New Roman" w:hAnsi="Times New Roman" w:cs="Arial" w:cstheme="minorHAnsi"/>
          <w:b/>
          <w:sz w:val="24"/>
          <w:szCs w:val="24"/>
        </w:rPr>
      </w:pPr>
      <w:r>
        <w:rPr>
          <w:rFonts w:cs="Arial" w:cstheme="minorHAnsi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 w:cstheme="minorHAnsi"/>
          <w:b/>
          <w:sz w:val="24"/>
          <w:szCs w:val="24"/>
        </w:rPr>
        <w:t>I. Cele i rodzaj zadania.</w:t>
      </w:r>
    </w:p>
    <w:p>
      <w:pPr>
        <w:pStyle w:val="Normal"/>
        <w:spacing w:lineRule="auto" w:line="276"/>
        <w:jc w:val="both"/>
        <w:rPr>
          <w:rFonts w:ascii="Cabri" w:hAnsi="Cabri" w:cs="Arial" w:cstheme="minorHAnsi"/>
          <w:b/>
          <w:sz w:val="22"/>
          <w:szCs w:val="22"/>
        </w:rPr>
      </w:pPr>
      <w:r>
        <w:rPr>
          <w:rFonts w:cs="Arial" w:cstheme="minorHAnsi" w:ascii="Cabri" w:hAnsi="Cabri"/>
          <w:b/>
          <w:sz w:val="22"/>
          <w:szCs w:val="22"/>
        </w:rPr>
      </w:r>
    </w:p>
    <w:p>
      <w:pPr>
        <w:pStyle w:val="ListParagraph"/>
        <w:numPr>
          <w:ilvl w:val="0"/>
          <w:numId w:val="11"/>
        </w:numPr>
        <w:spacing w:lineRule="auto" w:line="259" w:before="0" w:after="160"/>
        <w:ind w:hanging="0" w:left="720" w:right="0"/>
        <w:contextualSpacing/>
        <w:rPr>
          <w:rFonts w:ascii="Cabri" w:hAnsi="Cabri"/>
        </w:rPr>
      </w:pPr>
      <w:r>
        <w:rPr>
          <w:rFonts w:cs="Arial" w:ascii="Cabri" w:hAnsi="Cabri" w:cstheme="minorHAnsi"/>
          <w:bCs/>
          <w:sz w:val="22"/>
          <w:szCs w:val="22"/>
        </w:rPr>
        <w:t>Cele:</w:t>
      </w:r>
    </w:p>
    <w:p>
      <w:pPr>
        <w:pStyle w:val="ListParagraph"/>
        <w:numPr>
          <w:ilvl w:val="0"/>
          <w:numId w:val="19"/>
        </w:numPr>
        <w:spacing w:lineRule="auto" w:line="259" w:before="0" w:after="160"/>
        <w:ind w:hanging="0" w:left="720" w:right="0"/>
        <w:contextualSpacing/>
        <w:rPr>
          <w:rFonts w:ascii="Cabri" w:hAnsi="Cabri"/>
        </w:rPr>
      </w:pPr>
      <w:r>
        <w:rPr>
          <w:rFonts w:cs="Arial" w:ascii="Cabri" w:hAnsi="Cabri" w:cstheme="minorHAnsi"/>
          <w:bCs/>
          <w:sz w:val="22"/>
          <w:szCs w:val="22"/>
        </w:rPr>
        <w:t>umożliwienie mieszkańcom Kamiennej Góry wzięcia udziału w różnorodnych przedsięwzięciach kulturalnych,</w:t>
      </w:r>
    </w:p>
    <w:p>
      <w:pPr>
        <w:pStyle w:val="ListParagraph"/>
        <w:numPr>
          <w:ilvl w:val="0"/>
          <w:numId w:val="19"/>
        </w:numPr>
        <w:spacing w:lineRule="auto" w:line="259" w:before="0" w:after="160"/>
        <w:ind w:hanging="0" w:left="720" w:right="0"/>
        <w:contextualSpacing/>
        <w:rPr>
          <w:rFonts w:ascii="Cabri" w:hAnsi="Cabri"/>
        </w:rPr>
      </w:pPr>
      <w:r>
        <w:rPr>
          <w:rFonts w:cs="Arial" w:ascii="Cabri" w:hAnsi="Cabri" w:cstheme="minorHAnsi"/>
          <w:sz w:val="22"/>
          <w:szCs w:val="22"/>
        </w:rPr>
        <w:t>edukacja i propagowanie wiedzy w zakresie kultury i dziedzictwa kulturowego,</w:t>
      </w:r>
    </w:p>
    <w:p>
      <w:pPr>
        <w:pStyle w:val="ListParagraph"/>
        <w:numPr>
          <w:ilvl w:val="0"/>
          <w:numId w:val="19"/>
        </w:numPr>
        <w:spacing w:lineRule="auto" w:line="259" w:before="0" w:after="160"/>
        <w:ind w:hanging="0" w:left="720" w:right="0"/>
        <w:contextualSpacing/>
        <w:rPr>
          <w:rFonts w:ascii="Cabri" w:hAnsi="Cabri"/>
        </w:rPr>
      </w:pPr>
      <w:r>
        <w:rPr>
          <w:rFonts w:cs="Arial" w:ascii="Cabri" w:hAnsi="Cabri" w:cstheme="minorHAnsi"/>
          <w:bCs/>
          <w:sz w:val="22"/>
          <w:szCs w:val="22"/>
        </w:rPr>
        <w:t>dotarcie z ofertą kulturalną do jak najszerszej liczby mieszkańców Kamiennej Góry.</w:t>
      </w:r>
    </w:p>
    <w:p>
      <w:pPr>
        <w:pStyle w:val="ListParagraph"/>
        <w:numPr>
          <w:ilvl w:val="0"/>
          <w:numId w:val="11"/>
        </w:numPr>
        <w:spacing w:lineRule="auto" w:line="259" w:before="0" w:after="160"/>
        <w:ind w:hanging="0" w:left="720" w:right="0"/>
        <w:contextualSpacing/>
        <w:rPr>
          <w:rFonts w:ascii="Cabri" w:hAnsi="Cabri"/>
        </w:rPr>
      </w:pPr>
      <w:r>
        <w:rPr>
          <w:rFonts w:cs="Arial" w:ascii="Cabri" w:hAnsi="Cabri" w:cstheme="minorHAnsi"/>
          <w:bCs/>
          <w:sz w:val="22"/>
          <w:szCs w:val="22"/>
        </w:rPr>
        <w:t>Rodzaj zadania:</w:t>
      </w:r>
    </w:p>
    <w:p>
      <w:pPr>
        <w:pStyle w:val="ListParagraph"/>
        <w:numPr>
          <w:ilvl w:val="0"/>
          <w:numId w:val="20"/>
        </w:numPr>
        <w:spacing w:lineRule="auto" w:line="259" w:before="0" w:after="160"/>
        <w:ind w:hanging="360" w:left="360" w:right="0"/>
        <w:contextualSpacing/>
        <w:jc w:val="both"/>
        <w:rPr>
          <w:rFonts w:ascii="Cabri" w:hAnsi="Cabri"/>
        </w:rPr>
      </w:pPr>
      <w:r>
        <w:rPr>
          <w:rFonts w:cs="Arial" w:ascii="Cabri" w:hAnsi="Cabri" w:cstheme="minorHAnsi"/>
          <w:sz w:val="22"/>
          <w:szCs w:val="22"/>
        </w:rPr>
        <w:t>rozwijanie zainteresowań i prowadzenie zajęć muzycznych, plastycznych, fotograficznych, filmowych, itp. dla mieszkańców Kamiennej Góry;</w:t>
      </w:r>
    </w:p>
    <w:p>
      <w:pPr>
        <w:pStyle w:val="ListParagraph"/>
        <w:numPr>
          <w:ilvl w:val="0"/>
          <w:numId w:val="20"/>
        </w:numPr>
        <w:spacing w:lineRule="auto" w:line="259" w:before="0" w:after="160"/>
        <w:ind w:hanging="360" w:left="360" w:right="0"/>
        <w:contextualSpacing/>
        <w:jc w:val="both"/>
        <w:rPr>
          <w:rFonts w:ascii="Cabri" w:hAnsi="Cabri"/>
        </w:rPr>
      </w:pPr>
      <w:r>
        <w:rPr>
          <w:rFonts w:cs="Arial" w:ascii="Cabri" w:hAnsi="Cabri" w:cstheme="minorHAnsi"/>
          <w:sz w:val="22"/>
          <w:szCs w:val="22"/>
        </w:rPr>
        <w:t>rozbudzanie tożsamości kulturowej oraz rozwój twórczości kulturalnej wśród mieszkańców Kamiennej Góry;</w:t>
      </w:r>
    </w:p>
    <w:p>
      <w:pPr>
        <w:pStyle w:val="ListParagraph"/>
        <w:numPr>
          <w:ilvl w:val="0"/>
          <w:numId w:val="20"/>
        </w:numPr>
        <w:spacing w:lineRule="auto" w:line="259" w:before="0" w:after="160"/>
        <w:ind w:hanging="360" w:left="360" w:right="0"/>
        <w:contextualSpacing/>
        <w:jc w:val="both"/>
        <w:rPr>
          <w:rFonts w:ascii="Cabri" w:hAnsi="Cabri"/>
        </w:rPr>
      </w:pPr>
      <w:r>
        <w:rPr>
          <w:rFonts w:cs="Arial" w:ascii="Cabri" w:hAnsi="Cabri" w:cstheme="minorHAnsi"/>
          <w:sz w:val="22"/>
          <w:szCs w:val="22"/>
        </w:rPr>
        <w:t>organizacja imprez kulturalnych i edukacji kulturalnej na terenie Gminy Miejskiej Kamienna Góra;</w:t>
      </w:r>
    </w:p>
    <w:p>
      <w:pPr>
        <w:pStyle w:val="ListParagraph"/>
        <w:numPr>
          <w:ilvl w:val="0"/>
          <w:numId w:val="20"/>
        </w:numPr>
        <w:spacing w:lineRule="auto" w:line="259" w:before="0" w:after="160"/>
        <w:ind w:hanging="360" w:left="360" w:right="0"/>
        <w:contextualSpacing/>
        <w:jc w:val="both"/>
        <w:rPr>
          <w:rFonts w:ascii="Cabri" w:hAnsi="Cabri"/>
        </w:rPr>
      </w:pPr>
      <w:r>
        <w:rPr>
          <w:rFonts w:cs="Arial" w:ascii="Cabri" w:hAnsi="Cabri" w:cstheme="minorHAnsi"/>
          <w:sz w:val="22"/>
          <w:szCs w:val="22"/>
        </w:rPr>
        <w:t>ochrona dóbr kultury i dziedzictwa narodowego;</w:t>
      </w:r>
    </w:p>
    <w:p>
      <w:pPr>
        <w:pStyle w:val="ListParagraph"/>
        <w:numPr>
          <w:ilvl w:val="0"/>
          <w:numId w:val="20"/>
        </w:numPr>
        <w:spacing w:lineRule="auto" w:line="259" w:before="0" w:after="160"/>
        <w:ind w:hanging="360" w:left="360" w:right="0"/>
        <w:contextualSpacing/>
        <w:jc w:val="both"/>
        <w:rPr>
          <w:rFonts w:ascii="Cabri" w:hAnsi="Cabri"/>
        </w:rPr>
      </w:pPr>
      <w:r>
        <w:rPr>
          <w:rFonts w:cs="Arial" w:ascii="Cabri" w:hAnsi="Cabri" w:cstheme="minorHAnsi"/>
          <w:sz w:val="22"/>
          <w:szCs w:val="22"/>
        </w:rPr>
        <w:t xml:space="preserve">rozwijanie poczucia więzi i miłości do ojczyzny poprzez organizację wydarzeń o charakterze patriotycznym. </w:t>
      </w:r>
    </w:p>
    <w:p>
      <w:pPr>
        <w:pStyle w:val="Normal"/>
        <w:rPr>
          <w:rFonts w:ascii="Cabri" w:hAnsi="Cabri" w:cs="Arial" w:cstheme="minorHAnsi"/>
          <w:bCs/>
          <w:sz w:val="22"/>
          <w:szCs w:val="22"/>
        </w:rPr>
      </w:pPr>
      <w:r>
        <w:rPr>
          <w:rFonts w:cs="Arial" w:cstheme="minorHAnsi" w:ascii="Cabri" w:hAnsi="Cabri"/>
          <w:bCs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hanging="0" w:left="0" w:right="0"/>
        <w:rPr>
          <w:rFonts w:ascii="Arial" w:hAnsi="Arial" w:cs="Arial" w:asciiTheme="minorHAnsi" w:cstheme="minorHAnsi" w:hAnsiTheme="minorHAnsi"/>
          <w:b/>
          <w:bCs/>
          <w:sz w:val="22"/>
          <w:szCs w:val="22"/>
        </w:rPr>
      </w:pPr>
      <w:r>
        <w:rPr>
          <w:rFonts w:cs="Arial" w:ascii="Arial" w:hAnsi="Arial" w:asciiTheme="minorHAnsi" w:cstheme="minorHAnsi" w:hAnsiTheme="minorHAnsi"/>
          <w:b/>
          <w:bCs/>
          <w:sz w:val="22"/>
          <w:szCs w:val="22"/>
        </w:rPr>
        <w:t>II. Wysokość środków publicznych przeznaczonych na realizację tego zadania</w:t>
      </w:r>
    </w:p>
    <w:p>
      <w:pPr>
        <w:pStyle w:val="Normal"/>
        <w:rPr>
          <w:rFonts w:ascii="Arial" w:hAnsi="Arial" w:cs="Arial" w:asciiTheme="minorHAnsi" w:cstheme="minorHAnsi" w:hAnsiTheme="minorHAnsi"/>
          <w:b/>
          <w:bCs/>
          <w:sz w:val="22"/>
          <w:szCs w:val="22"/>
        </w:rPr>
      </w:pPr>
      <w:r>
        <w:rPr>
          <w:rFonts w:cs="Arial" w:cstheme="minorHAnsi"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 w:cs="Arial" w:asciiTheme="minorHAnsi" w:cstheme="minorHAnsi" w:hAnsiTheme="minorHAnsi"/>
          <w:b/>
          <w:sz w:val="22"/>
          <w:szCs w:val="22"/>
        </w:rPr>
      </w:pPr>
      <w:r>
        <w:rPr>
          <w:rFonts w:cs="Arial" w:ascii="Arial" w:hAnsi="Arial" w:asciiTheme="minorHAnsi" w:cstheme="minorHAnsi" w:hAnsiTheme="minorHAnsi"/>
          <w:bCs/>
          <w:sz w:val="22"/>
          <w:szCs w:val="22"/>
        </w:rPr>
        <w:t xml:space="preserve">Wysokość środków publicznych przekazanych na realizację zadań wyniesie: </w:t>
      </w:r>
      <w:r>
        <w:rPr>
          <w:rFonts w:cs="Arial" w:ascii="Arial" w:hAnsi="Arial" w:asciiTheme="minorHAnsi" w:cstheme="minorHAnsi" w:hAnsiTheme="minorHAnsi"/>
          <w:b/>
          <w:bCs/>
          <w:sz w:val="22"/>
          <w:szCs w:val="22"/>
          <w:u w:val="single"/>
        </w:rPr>
        <w:t>30 000,00 zł.</w:t>
      </w:r>
    </w:p>
    <w:p>
      <w:pPr>
        <w:pStyle w:val="Teksttreci1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Nagwek11"/>
        <w:keepNext w:val="true"/>
        <w:keepLines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1089" w:leader="none"/>
        </w:tabs>
        <w:bidi w:val="0"/>
        <w:spacing w:before="0" w:after="280"/>
        <w:ind w:hanging="0" w:left="0" w:right="0"/>
        <w:jc w:val="both"/>
        <w:rPr>
          <w:b/>
          <w:bCs/>
          <w:color w:val="000000"/>
        </w:rPr>
      </w:pPr>
      <w:r>
        <w:rPr>
          <w:rStyle w:val="Nagwek1"/>
          <w:b/>
          <w:bCs/>
          <w:color w:val="000000"/>
        </w:rPr>
        <w:t xml:space="preserve">III. </w:t>
      </w:r>
      <w:bookmarkStart w:id="5" w:name="bookmark4"/>
      <w:r>
        <w:rPr>
          <w:rStyle w:val="Nagwek1"/>
          <w:b/>
          <w:bCs/>
          <w:color w:val="000000"/>
        </w:rPr>
        <w:t>Zasady przyznawania dotacji:</w:t>
      </w:r>
      <w:bookmarkEnd w:id="5"/>
    </w:p>
    <w:p>
      <w:pPr>
        <w:pStyle w:val="Nagwek11"/>
        <w:numPr>
          <w:ilvl w:val="0"/>
          <w:numId w:val="1"/>
        </w:numPr>
        <w:rPr/>
      </w:pPr>
      <w:r>
        <w:rPr>
          <w:rStyle w:val="Teksttreci"/>
          <w:color w:val="000000"/>
        </w:rPr>
        <w:t>Zlecenie realizacji zadania i udzielenie dofinansowania następuje z odpowiednim zastosowaniem przepisów ustawy z dnia 24 kwietnia 2003 r. o działalności pożytku publicznego i o wolontariacie (</w:t>
      </w:r>
      <w:hyperlink r:id="rId4">
        <w:bookmarkStart w:id="6" w:name="59a62ef4-b6b0-49d0-b201-e625523a52d5_kop"/>
        <w:bookmarkEnd w:id="6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>Dz.U. z 2025 r. poz. </w:t>
        </w:r>
      </w:hyperlink>
      <w:r>
        <w:rPr>
          <w:rStyle w:val="Teksttreci"/>
          <w:u w:val="none"/>
        </w:rPr>
        <w:t>1338</w:t>
      </w:r>
      <w:hyperlink r:id="rId5"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 xml:space="preserve"> z późn. zm.</w:t>
        </w:r>
      </w:hyperlink>
      <w:r>
        <w:rPr>
          <w:rStyle w:val="Teksttreci"/>
          <w:color w:val="000000"/>
        </w:rPr>
        <w:t>) oraz ustawy z dnia 27 sierpnia 2009 r. o finansach publicznych (Dz.U. z 2025 r., poz. 1483 z późn. zm. ) udzielenie dofinansowania na realizację zadania publicznego oznacza, że oferent w ofercie realizacji zadania publicznego wykazuje wkład finansowy własny.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347" w:leader="none"/>
        </w:tabs>
        <w:bidi w:val="0"/>
        <w:spacing w:before="0" w:after="28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Złożenie oferty nie jest równoznaczne z przyznaniem dotacji lub przyznaniem dotacji w oczekiwanej wysokości.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347" w:leader="none"/>
        </w:tabs>
        <w:bidi w:val="0"/>
        <w:spacing w:lineRule="auto" w:line="271" w:before="0" w:after="28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Kwota przeznaczona na realizację poszczególnych zadań może ulec zmniejszeniu w przypadku stwierdzenia, że zadania te można realizować mniejszym kosztem, złożone oferty nie uzyskają akceptacji Burmistrza Miasta Kamienna Góra lub zaistnieje konieczność zmniejszenia budżetu Gminy w części przeznaczonej na realizację zadania z ważnych przyczyn, niemożliwych do przewidzenia                   w dniu ogłoszenia konkursu.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347" w:leader="none"/>
        </w:tabs>
        <w:bidi w:val="0"/>
        <w:spacing w:lineRule="auto" w:line="271" w:before="0" w:after="28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Ogólna kwota dotacji przeznaczona na realizację zadania może być podzielona między wnioskodawców.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W przypadku zmniejszenia wysokości wnioskowanej dotacji wnioskodawca może zmniejszyć zakres rzeczowy zadania i kosztorys lub wycofać ofertę.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W ramach udzielonej dotacji będą finansowane wyłącznie koszty bezpośrednio związane z realizacją zadania.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346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Możliwe jest przekazanie dotacji w transzach – zależy to od specyfiki i harmonogramu realizacji projektu.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0" w:left="0" w:right="0"/>
        <w:jc w:val="both"/>
        <w:rPr>
          <w:b/>
          <w:bCs/>
          <w:color w:val="000000"/>
        </w:rPr>
      </w:pPr>
      <w:r>
        <w:rPr>
          <w:rStyle w:val="Teksttreci"/>
          <w:b/>
          <w:bCs/>
          <w:color w:val="000000"/>
        </w:rPr>
        <w:t>W konkursie nie przewiduje się wyceny wkładu rzeczowego wnoszonego do projektów.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1070" w:leader="none"/>
        </w:tabs>
        <w:bidi w:val="0"/>
        <w:spacing w:before="0" w:after="280"/>
        <w:ind w:hanging="0" w:left="0" w:right="0"/>
        <w:jc w:val="both"/>
        <w:rPr>
          <w:b/>
          <w:bCs/>
          <w:color w:val="000000"/>
        </w:rPr>
      </w:pPr>
      <w:r>
        <w:rPr>
          <w:rStyle w:val="Teksttreci"/>
          <w:b/>
          <w:bCs/>
          <w:color w:val="000000"/>
        </w:rPr>
        <w:t>IV. Termin i warunki realizacji zadań</w:t>
      </w:r>
    </w:p>
    <w:p>
      <w:pPr>
        <w:pStyle w:val="Nagwek11"/>
        <w:keepNext w:val="true"/>
        <w:keepLines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/>
      </w:pPr>
      <w:bookmarkStart w:id="7" w:name="bookmark6"/>
      <w:r>
        <w:rPr>
          <w:rStyle w:val="Nagwek1"/>
          <w:b w:val="false"/>
          <w:bCs w:val="false"/>
          <w:color w:val="000000"/>
        </w:rPr>
        <w:t xml:space="preserve">Zadania muszą być wykonane w roku 2026. </w:t>
      </w:r>
      <w:r>
        <w:rPr>
          <w:rStyle w:val="Nagwek1"/>
          <w:b/>
          <w:bCs/>
          <w:color w:val="000000"/>
        </w:rPr>
        <w:t>Początek realizacji zadania powinien nastąpić nie wcześniej niż</w:t>
      </w:r>
      <w:r>
        <w:rPr>
          <w:rStyle w:val="Nagwek1"/>
          <w:b/>
          <w:bCs/>
          <w:color w:val="FF0000"/>
        </w:rPr>
        <w:t xml:space="preserve"> </w:t>
      </w:r>
      <w:r>
        <w:rPr>
          <w:rStyle w:val="Nagwek1"/>
          <w:b/>
          <w:bCs/>
          <w:color w:val="000000"/>
        </w:rPr>
        <w:t>26 stycznia 2026 r., a zakończenie nie później niż 31 grudnia 2026 r.</w:t>
      </w:r>
      <w:bookmarkEnd w:id="7"/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346" w:leader="none"/>
        </w:tabs>
        <w:bidi w:val="0"/>
        <w:spacing w:lineRule="auto" w:line="271" w:before="0" w:after="280"/>
        <w:ind w:hanging="360" w:left="360" w:right="0"/>
        <w:jc w:val="both"/>
        <w:rPr/>
      </w:pPr>
      <w:r>
        <w:rPr>
          <w:rStyle w:val="Teksttreci"/>
          <w:color w:val="000000"/>
        </w:rPr>
        <w:t>Beneficjent musi zapewnić wkład własny finansowy 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>
          <w:b/>
          <w:bCs/>
          <w:color w:val="000000"/>
        </w:rPr>
      </w:pPr>
      <w:r>
        <w:rPr>
          <w:rStyle w:val="Teksttreci"/>
          <w:b/>
          <w:bCs/>
          <w:color w:val="000000"/>
        </w:rPr>
        <w:t>Oferent może wydatkować przyznane mu w ramach dotacji środki od dnia podpisania umowy. Środki na realizację zadania wydatkowane pomiędzy 26 stycznia 2026 r., a datą podpisania umowy, stanowią wkład własny organizacji.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/>
      </w:pPr>
      <w:r>
        <w:rPr>
          <w:rStyle w:val="Teksttreci"/>
          <w:color w:val="000000"/>
        </w:rPr>
        <w:t xml:space="preserve">Dopuszcza się w trakcie realizacji zadania możliwość dokonywania przesunięć w zakresie poszczególnych pozycji kosztów działania oraz </w:t>
      </w:r>
      <w:r>
        <w:rPr>
          <w:rStyle w:val="Teksttreci"/>
          <w:color w:val="000000"/>
          <w:u w:val="single"/>
        </w:rPr>
        <w:t>pomiędzy działaniami o 20%.</w:t>
      </w:r>
      <w:r>
        <w:rPr>
          <w:rStyle w:val="Teksttreci"/>
          <w:color w:val="000000"/>
        </w:rPr>
        <w:t xml:space="preserve"> Zmniejszenie nie jest limitowane. Zmiany do wyżej określonego poziomu nie wymagają aneksu do umowy.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346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Zadanie powinno być realizowane z najwyższą starannością, zgodnie z zawartą umową oraz obowiązującymi standardami, w zakresie opisanym w ofercie.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Zadania powinno być realizowane w taki sposób, by swoimi działaniami obejmowało jak największą liczbę beneficjentów.</w:t>
      </w:r>
    </w:p>
    <w:p>
      <w:pPr>
        <w:pStyle w:val="Nagwek11"/>
        <w:keepNext w:val="true"/>
        <w:keepLines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1070" w:leader="none"/>
        </w:tabs>
        <w:bidi w:val="0"/>
        <w:spacing w:lineRule="auto" w:line="276" w:before="0" w:after="280"/>
        <w:ind w:hanging="0" w:left="0" w:right="0"/>
        <w:jc w:val="both"/>
        <w:rPr>
          <w:b/>
          <w:bCs/>
          <w:color w:val="000000"/>
        </w:rPr>
      </w:pPr>
      <w:r>
        <w:rPr>
          <w:rStyle w:val="Nagwek1"/>
          <w:b/>
          <w:bCs/>
          <w:color w:val="000000"/>
        </w:rPr>
        <w:t xml:space="preserve">V. </w:t>
      </w:r>
      <w:bookmarkStart w:id="8" w:name="bookmark8"/>
      <w:r>
        <w:rPr>
          <w:rStyle w:val="Nagwek1"/>
          <w:b/>
          <w:bCs/>
          <w:color w:val="000000"/>
        </w:rPr>
        <w:t>Termin i warunki składania ofert</w:t>
      </w:r>
      <w:bookmarkEnd w:id="8"/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346" w:leader="none"/>
        </w:tabs>
        <w:bidi w:val="0"/>
        <w:spacing w:lineRule="auto" w:line="271" w:before="0" w:after="280"/>
        <w:ind w:hanging="360" w:left="360" w:right="0"/>
        <w:jc w:val="both"/>
        <w:rPr/>
      </w:pPr>
      <w:r>
        <w:rPr>
          <w:rStyle w:val="Teksttreci"/>
          <w:color w:val="000000"/>
        </w:rPr>
        <w:t>Oferty dotyczące wspierania realizacji zadań publicznych w zakresie zadania objętego niniejszym konkursem należy złożyć w terminie do dnia</w:t>
      </w:r>
      <w:r>
        <w:rPr>
          <w:rStyle w:val="Teksttreci"/>
          <w:color w:val="C9211E"/>
        </w:rPr>
        <w:t xml:space="preserve"> </w:t>
      </w:r>
      <w:r>
        <w:rPr>
          <w:rStyle w:val="Teksttreci"/>
          <w:b/>
          <w:bCs/>
          <w:color w:val="000000"/>
        </w:rPr>
        <w:t>24 lutego 2026 r.</w:t>
      </w:r>
      <w:r>
        <w:rPr>
          <w:rStyle w:val="Teksttreci"/>
          <w:b/>
          <w:bCs/>
          <w:color w:val="C9211E"/>
        </w:rPr>
        <w:t xml:space="preserve">  </w:t>
      </w:r>
      <w:r>
        <w:rPr>
          <w:rStyle w:val="Teksttreci"/>
          <w:b/>
          <w:bCs/>
          <w:color w:val="000000"/>
        </w:rPr>
        <w:t xml:space="preserve">do godziny 15.30 w siedzibie Urzędu Miasta Kamienna Góra przy placu Grunwaldzkim 1 w Biurze Obsługi Klienta lub przesłać </w:t>
      </w:r>
      <w:r>
        <w:rPr>
          <w:rStyle w:val="Teksttreci"/>
          <w:color w:val="000000"/>
        </w:rPr>
        <w:t xml:space="preserve">drogą pocztową na adres Urzędu Miasta w Kamiennej Górze, plac Grunwaldzki 1, 58-400 Kamienna Góra </w:t>
      </w:r>
      <w:r>
        <w:rPr>
          <w:rStyle w:val="Teksttreci"/>
          <w:b/>
          <w:bCs/>
          <w:color w:val="000000"/>
        </w:rPr>
        <w:t xml:space="preserve">(liczy się data wpływu do urzędu, a nie stempla pocztowego). </w:t>
      </w:r>
      <w:r>
        <w:rPr>
          <w:rStyle w:val="Teksttreci"/>
          <w:color w:val="000000"/>
        </w:rPr>
        <w:t>Oferty przesyłane drogą elektroniczną nie będą przyjmowane.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/>
      </w:pPr>
      <w:r>
        <w:rPr>
          <w:rStyle w:val="Teksttreci"/>
          <w:color w:val="000000"/>
        </w:rPr>
        <w:t xml:space="preserve">Oferty powinny być złożone w zamkniętych kopertach z napisem: </w:t>
      </w:r>
      <w:r>
        <w:rPr>
          <w:rStyle w:val="Teksttreci"/>
          <w:b/>
          <w:bCs/>
          <w:color w:val="000000"/>
        </w:rPr>
        <w:t>„Konkurs ofert 2026” wraz                           z oznaczonym rodzajem zadania zgodnie z ogłoszeniem konkursowym.</w:t>
      </w:r>
      <w:r>
        <w:rPr>
          <w:rStyle w:val="Teksttreci"/>
          <w:color w:val="000000"/>
        </w:rPr>
        <w:t xml:space="preserve"> W przypadku składania więcej niż jednej oferty, dopuszcza się załączenie jednego kompletu załączników ze wskazaniem na pierwszej stronie (dopisek) przy której ofercie się znajdują.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360" w:leader="none"/>
        </w:tabs>
        <w:bidi w:val="0"/>
        <w:spacing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Oferty muszą być sporządzone zgodnie ze wzorem określonym w załączniku nr 1 do 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Do oferty konkursowej obligatoryjnie należy dołączyć: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kopię aktualnego statutu,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60" w:leader="none"/>
        </w:tabs>
        <w:bidi w:val="0"/>
        <w:spacing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kopię wyciągu z innego rejestru niż KRS, ewidencji lub innego dokumentu potwierdzającego status prawny Oferenta oraz nazwiska i funkcję osób upoważnionych do składania oświadczeń woli w jego imieniu (np. wypis z ewidencji klubów sportowych gdy zawiera ww. informację lub wypis z ewidencji i statut lub inny dokument jeżeli wypis nie zawiera ww. informacji; wyciąg musi być zgodny ze stanem faktycznym i prawnym, niezależnie od tego, kiedy został wydany),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pełnomocnictwa i upoważnienia dla osób składających ofertę do reprezentowania podmiotu, jeżeli dane osoby nie są ujęte w dokumencie stanowiącym o podstawie działalności podmiotu,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w przypadku rozpoczęcia procedury zmiany zarządu/władz/sposobu reprezentacji oferenta – uchwałę dot. zmiany/wyboru nowo wybranych osób oraz kserokopię wniosku dot. zmian złożonego do KRS/właściwego rejestru,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 (-ów),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 gwarancjach i wolności sumienia i wyznania, jeżeli ich cele statutowe obejmują prowadzenie działalności pożytku publicznego, dekret powołujący na proboszcza lub inna funkcję, upoważniający do składania oświadczeń i zaciągania zobowiązań,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w przypadku składania oferty wspólnej – umowę zawartą pomiędzy partnerami, określającą zakres ich świadczeń składających się na realizację zadania publicznego,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60" w:leader="none"/>
        </w:tabs>
        <w:bidi w:val="0"/>
        <w:spacing w:lineRule="auto" w:line="271"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w przypadku spółek akcyjnych i spółek z o.o. oraz klubów sportowych działających na podstawie przepisów ustawy z dnia 25 czerwca 2010 r. o sporcie, które nie działają w celu osiągnięcia zysku oraz przeznaczają całość zysków na działalność statutową oraz nie przeznaczają zysku do podziału między swoich członków, udziałowców, akcjonariuszy i pracowników dodatkowo wymagany jest statut.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360" w:leader="none"/>
        </w:tabs>
        <w:bidi w:val="0"/>
        <w:spacing w:before="0" w:after="280"/>
        <w:ind w:hanging="360" w:left="360" w:right="0"/>
        <w:jc w:val="both"/>
        <w:rPr>
          <w:color w:val="000000"/>
        </w:rPr>
      </w:pPr>
      <w:r>
        <w:rPr>
          <w:rStyle w:val="Teksttreci"/>
          <w:color w:val="000000"/>
        </w:rPr>
        <w:t>Terenowe oddziały organizacji (nieposiadające osobowości prawnej) mogą złożyć ofertę wyłącznie za zgodą zarządu głównego organizacji.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360" w:leader="none"/>
        </w:tabs>
        <w:bidi w:val="0"/>
        <w:spacing w:before="0" w:after="280"/>
        <w:ind w:hanging="360" w:left="360" w:right="0"/>
        <w:jc w:val="both"/>
        <w:rPr/>
      </w:pPr>
      <w:r>
        <w:rPr>
          <w:rStyle w:val="Teksttreci"/>
          <w:b/>
          <w:bCs/>
          <w:color w:val="000000"/>
        </w:rPr>
        <w:t xml:space="preserve">W przypadku złożenia kserokopii dokumentów wymienionych w ust. 4 muszą być one potwierdzone na każdej stronie kopii, za zgodność z oryginałem </w:t>
      </w:r>
      <w:r>
        <w:rPr>
          <w:rStyle w:val="Teksttreci"/>
          <w:color w:val="000000"/>
        </w:rPr>
        <w:t>przez co najmniej jedną osobę reprezentującą podmiot występujący o dotację lub osobę upoważnioną do potwierdzania dokumentów dla tych osób wraz z pieczątkami imiennymi, a w przypadku ich braku wymagane są czytelne podpisy.</w:t>
      </w:r>
    </w:p>
    <w:p>
      <w:pPr>
        <w:pStyle w:val="Nagwek11"/>
        <w:keepNext w:val="true"/>
        <w:keepLines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1173" w:leader="none"/>
        </w:tabs>
        <w:bidi w:val="0"/>
        <w:spacing w:before="0" w:after="280"/>
        <w:ind w:hanging="0" w:left="0" w:right="0"/>
        <w:jc w:val="left"/>
        <w:rPr>
          <w:b/>
          <w:bCs/>
          <w:color w:val="000000"/>
        </w:rPr>
      </w:pPr>
      <w:r>
        <w:rPr>
          <w:rStyle w:val="Nagwek1"/>
          <w:b/>
          <w:bCs/>
          <w:color w:val="000000"/>
        </w:rPr>
        <w:t xml:space="preserve">VI. </w:t>
      </w:r>
      <w:bookmarkStart w:id="9" w:name="bookmark10"/>
      <w:r>
        <w:rPr>
          <w:rStyle w:val="Nagwek1"/>
          <w:b/>
          <w:bCs/>
          <w:color w:val="000000"/>
        </w:rPr>
        <w:t>Termin i tryb wyboru ofert</w:t>
      </w:r>
      <w:bookmarkEnd w:id="9"/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355" w:leader="none"/>
        </w:tabs>
        <w:bidi w:val="0"/>
        <w:spacing w:before="0" w:after="280"/>
        <w:ind w:hanging="460" w:left="460" w:right="0"/>
        <w:jc w:val="left"/>
        <w:rPr/>
      </w:pPr>
      <w:r>
        <w:rPr>
          <w:rStyle w:val="Teksttreci"/>
          <w:color w:val="000000"/>
        </w:rPr>
        <w:t xml:space="preserve">Ostateczne rozstrzygnięcie konkursu nastąpi w terminie </w:t>
      </w:r>
      <w:r>
        <w:rPr>
          <w:rStyle w:val="Teksttreci"/>
          <w:b/>
          <w:bCs/>
          <w:color w:val="000000"/>
          <w:u w:val="single"/>
        </w:rPr>
        <w:t>nie później niż 30 dni</w:t>
      </w:r>
      <w:r>
        <w:rPr>
          <w:rStyle w:val="Teksttreci"/>
          <w:b/>
          <w:bCs/>
          <w:color w:val="000000"/>
        </w:rPr>
        <w:t xml:space="preserve"> </w:t>
      </w:r>
      <w:r>
        <w:rPr>
          <w:rStyle w:val="Teksttreci"/>
          <w:color w:val="000000"/>
        </w:rPr>
        <w:t>od dnia upływu terminu składania ofert. Możliwe jest dokonywanie rozstrzygnięć w kilku etapach.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355" w:leader="none"/>
        </w:tabs>
        <w:bidi w:val="0"/>
        <w:spacing w:before="0" w:after="280"/>
        <w:ind w:hanging="460" w:left="460" w:right="0"/>
        <w:jc w:val="left"/>
        <w:rPr>
          <w:color w:val="000000"/>
        </w:rPr>
      </w:pPr>
      <w:r>
        <w:rPr>
          <w:rStyle w:val="Teksttreci"/>
          <w:color w:val="000000"/>
        </w:rPr>
        <w:t>Wszystkie oferty złożone zgodnie z przepisami zawartymi w rozdziale 5 zostaną ocenione pod względem formalnym i merytorycznym przez komisję konkursową powołaną przez Burmistrza Miasta Kamienna Góra.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28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Decyzję o udzieleniu dotacji podejmuje Burmistrz Miasta Kamienna Góra w formie zarządzenia.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280"/>
        <w:ind w:hanging="460" w:left="460" w:right="0"/>
        <w:jc w:val="left"/>
        <w:rPr>
          <w:color w:val="000000"/>
        </w:rPr>
      </w:pPr>
      <w:r>
        <w:rPr>
          <w:rStyle w:val="Teksttreci"/>
          <w:color w:val="000000"/>
        </w:rPr>
        <w:t>Burmistrz Miasta Kamienna Góra w terminie 7 dni po upływie terminu określonego w ust. 1 zawiadamia w formie pisemnej wnioskodawców o przyjęciu oferty do realizacji lub jej odrzuceniu.</w:t>
      </w:r>
    </w:p>
    <w:p>
      <w:pPr>
        <w:pStyle w:val="Nagwek11"/>
        <w:keepNext w:val="true"/>
        <w:keepLines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1173" w:leader="none"/>
        </w:tabs>
        <w:bidi w:val="0"/>
        <w:spacing w:before="0" w:after="280"/>
        <w:ind w:hanging="0" w:left="0" w:right="0"/>
        <w:jc w:val="left"/>
        <w:rPr>
          <w:b/>
          <w:bCs/>
          <w:color w:val="000000"/>
        </w:rPr>
      </w:pPr>
      <w:r>
        <w:rPr>
          <w:rStyle w:val="Nagwek1"/>
          <w:b/>
          <w:bCs/>
          <w:color w:val="000000"/>
        </w:rPr>
        <w:t xml:space="preserve">VII. </w:t>
      </w:r>
      <w:bookmarkStart w:id="10" w:name="bookmark12"/>
      <w:r>
        <w:rPr>
          <w:rStyle w:val="Nagwek1"/>
          <w:b/>
          <w:bCs/>
          <w:color w:val="000000"/>
        </w:rPr>
        <w:t>Ogólne zasady kwalifikowalności kosztów</w:t>
      </w:r>
      <w:bookmarkEnd w:id="10"/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Koszty zostaną uznane za kwalifikowalne, gdy: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związane są z realizowanym zadaniem i są niezbędne do jego realizacji,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zostały uwzględnione w kosztorysie zadania,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zostały skalkulowane racjonalnie na podstawie cen rynkowych,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71" w:before="0" w:after="0"/>
        <w:ind w:hanging="460" w:left="460" w:right="0"/>
        <w:jc w:val="both"/>
        <w:rPr>
          <w:color w:val="000000"/>
        </w:rPr>
      </w:pPr>
      <w:r>
        <w:rPr>
          <w:rStyle w:val="Teksttreci"/>
          <w:color w:val="000000"/>
        </w:rPr>
        <w:t>odzwierciedlają koszty rzeczywiste, są skalkulowane proporcjonalnie dla zadania objętego finansowaniem,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460" w:left="460" w:right="0"/>
        <w:jc w:val="both"/>
        <w:rPr>
          <w:color w:val="000000"/>
        </w:rPr>
      </w:pPr>
      <w:r>
        <w:rPr>
          <w:rStyle w:val="Teksttreci"/>
          <w:color w:val="000000"/>
        </w:rPr>
        <w:t>zostały poniesione we właściwym terminie (termin wydatkowania dotacji oraz innych środków finansowych wynikający z zapisu w umowie),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55" w:leader="none"/>
          <w:tab w:val="left" w:pos="4795" w:leader="none"/>
          <w:tab w:val="left" w:pos="6902" w:leader="none"/>
        </w:tabs>
        <w:bidi w:val="0"/>
        <w:spacing w:lineRule="auto" w:line="271" w:before="0" w:after="0"/>
        <w:ind w:hanging="460" w:left="460" w:right="0"/>
        <w:jc w:val="both"/>
        <w:rPr>
          <w:color w:val="000000"/>
        </w:rPr>
      </w:pPr>
      <w:r>
        <w:rPr>
          <w:rStyle w:val="Teksttreci"/>
          <w:color w:val="000000"/>
        </w:rPr>
        <w:t>poparte są właściwymi dowodami księgowymi (faktury, umowy oraz rachunki do umów) oraz zostały prawidłowo odzwierciedlone w ewidencji księgowej (oferent zobowiązany jest do prowadzenia wyodrębnionej dokumentacji finansowo-księgowej środków finansowych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71" w:before="0" w:after="280"/>
        <w:ind w:hanging="0" w:left="460" w:right="0"/>
        <w:jc w:val="both"/>
        <w:rPr>
          <w:color w:val="000000"/>
        </w:rPr>
      </w:pPr>
      <w:r>
        <w:rPr>
          <w:rStyle w:val="Teksttreci"/>
          <w:color w:val="000000"/>
        </w:rPr>
        <w:t>otrzymanych na realizację zadania zgodnie z ustawą o rachunkowości, w sposób umożliwiający identyfikację poszczególnych operacji księgowych).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Koszty kwalifikują się do dofinansowania (stanowią koszty kwalifikowalne), pod warunkiem, że: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nie zawierają kosztów pokrywanych w ramach innych pozycji budżetowych,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28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nie są finansowane z innych źródeł.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Koszty kwalifikowane mogą zawierać koszty osobowe i bezosobowe (wynagrodzenia wraz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71" w:before="0" w:after="280"/>
        <w:ind w:firstLine="460" w:left="0" w:right="0"/>
        <w:jc w:val="left"/>
        <w:rPr>
          <w:color w:val="000000"/>
        </w:rPr>
      </w:pPr>
      <w:r>
        <w:rPr>
          <w:rStyle w:val="Teksttreci"/>
          <w:color w:val="000000"/>
        </w:rPr>
        <w:t>z kosztami pracownika i pracodawcy).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Koszty administracyjne zadania (w tym np. kierowanie, koordynacja, wykonywanie zadań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71" w:before="0" w:after="280"/>
        <w:ind w:firstLine="460" w:left="0" w:right="0"/>
        <w:jc w:val="left"/>
        <w:rPr/>
      </w:pPr>
      <w:r>
        <w:rPr>
          <w:rStyle w:val="Teksttreci"/>
          <w:color w:val="000000"/>
        </w:rPr>
        <w:t xml:space="preserve">administracyjno-nadzorczo-kontrolnych) </w:t>
      </w:r>
      <w:r>
        <w:rPr>
          <w:rStyle w:val="Teksttreci"/>
          <w:b/>
          <w:bCs/>
          <w:color w:val="000000"/>
          <w:u w:val="single"/>
        </w:rPr>
        <w:t>nie mogą przekroczyć 10% wnioskowanej dotacji.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Koszty niekwalifikowalne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71" w:before="0" w:after="0"/>
        <w:ind w:firstLine="460" w:left="0" w:right="0"/>
        <w:jc w:val="left"/>
        <w:rPr>
          <w:color w:val="000000"/>
        </w:rPr>
      </w:pPr>
      <w:r>
        <w:rPr>
          <w:rStyle w:val="Teksttreci"/>
          <w:color w:val="000000"/>
        </w:rPr>
        <w:t>Koszty, które nie zostaną uznane za kwalifikowalne: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28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budowa, zakup budynków lub lokali, zakup gruntów lub innych nieruchomości,</w:t>
      </w:r>
      <w:r>
        <w:br w:type="page"/>
      </w:r>
    </w:p>
    <w:p>
      <w:pPr>
        <w:pStyle w:val="Teksttreci1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0"/>
        <w:ind w:hanging="460" w:left="460" w:right="0"/>
        <w:jc w:val="left"/>
        <w:rPr>
          <w:color w:val="000000"/>
        </w:rPr>
      </w:pPr>
      <w:r>
        <w:rPr>
          <w:rStyle w:val="Teksttreci"/>
          <w:color w:val="000000"/>
        </w:rPr>
        <w:t>podatki z wyłączeniem podatku dochodowego od osób fizycznych (PDOF) oraz podatków od towarów i usług (VAT), pod warunkiem, że podatek VAT nie może zostać odzyskany w oparciu o przepisy ustawy o podatku od towarów i usług,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pokrycie deficytu zrealizowanych wcześniej przedsięwzięć,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odsetki ustawowe i umowne,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nagrody pieniężne,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30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kary umowne.</w:t>
      </w:r>
    </w:p>
    <w:p>
      <w:pPr>
        <w:pStyle w:val="Podpistabeli1"/>
        <w:keepNext w:val="false"/>
        <w:keepLines w:val="false"/>
        <w:widowControl w:val="false"/>
        <w:shd w:val="clear" w:color="auto" w:fill="auto"/>
        <w:tabs>
          <w:tab w:val="clear" w:pos="720"/>
          <w:tab w:val="left" w:pos="1166" w:leader="none"/>
        </w:tabs>
        <w:bidi w:val="0"/>
        <w:spacing w:lineRule="auto" w:line="240" w:before="0" w:after="0"/>
        <w:ind w:hanging="0" w:left="451" w:right="0"/>
        <w:jc w:val="left"/>
        <w:rPr>
          <w:b/>
          <w:bCs/>
          <w:color w:val="000000"/>
        </w:rPr>
      </w:pPr>
      <w:r>
        <w:rPr>
          <w:rStyle w:val="Podpistabeli"/>
          <w:b/>
          <w:bCs/>
          <w:color w:val="000000"/>
        </w:rPr>
        <w:t>VIII. Ocena formalna oferty uwzględnia następujące kryteria:</w:t>
      </w:r>
    </w:p>
    <w:tbl>
      <w:tblPr>
        <w:tblW w:w="90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229"/>
        <w:gridCol w:w="1133"/>
        <w:gridCol w:w="1138"/>
      </w:tblGrid>
      <w:tr>
        <w:trPr>
          <w:trHeight w:val="821" w:hRule="exact"/>
        </w:trPr>
        <w:tc>
          <w:tcPr>
            <w:tcW w:w="9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OCENA FORMALNA</w:t>
            </w:r>
          </w:p>
        </w:tc>
      </w:tr>
      <w:tr>
        <w:trPr>
          <w:trHeight w:val="278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Lp.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Kryteria oceny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TAK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NIE</w:t>
            </w:r>
          </w:p>
        </w:tc>
      </w:tr>
      <w:tr>
        <w:trPr>
          <w:trHeight w:val="547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1.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Oferta została złożona w terminie podanym w ogłoszeniu konkursowym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47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2.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Oferta została złożona na obowiązującym formularzu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47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3.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Czytelnie uzupełniono wszystkie wymagane pola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47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4.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Oferta została złożona przez podmiot uprawniony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47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5.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Cele statutowe podmiotu są zgodne ze sferą zadań publicznych, w ramach której będzie realizowane zadanie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47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6.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Oferta została podpisana przez osobę lub osoby uprawnione do reprezentacji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278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7.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Do oferty zostały załączone wymagane załączniki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47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8.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Kopie dokumentów są poświadczone przez osobę lub osoby uprawnione.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47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16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9.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Oferent zadeklarował wniesienie wkładu własnego finansowego na poziomie wymaganym w ogłoszeniu konkursowym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312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10.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Zadanie jest zgodne z ogłoszeniem konkursowym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  <w:tr>
        <w:trPr>
          <w:trHeight w:val="552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11.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Termin realizacji zadania publicznego mieści się w ramach określonych w ogłoszeniu konkursowym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</w:tr>
    </w:tbl>
    <w:p>
      <w:pPr>
        <w:pStyle w:val="Normal"/>
        <w:widowControl w:val="false"/>
        <w:spacing w:lineRule="exact" w:line="1" w:before="0" w:after="299"/>
        <w:rPr>
          <w:color w:val="C9211E"/>
        </w:rPr>
      </w:pPr>
      <w:r>
        <w:rPr>
          <w:color w:val="C9211E"/>
        </w:rPr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UWAGA: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1180" w:leader="none"/>
        </w:tabs>
        <w:bidi w:val="0"/>
        <w:spacing w:before="0" w:after="0"/>
        <w:ind w:hanging="360" w:left="1180" w:right="0"/>
        <w:jc w:val="left"/>
        <w:rPr>
          <w:color w:val="000000"/>
        </w:rPr>
      </w:pPr>
      <w:r>
        <w:rPr>
          <w:rStyle w:val="Teksttreci"/>
          <w:color w:val="000000"/>
        </w:rPr>
        <w:t>Nie przewiduje się możliwości uzupełnienia oferty, która została złożona w stanie niekompletnym.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1180" w:leader="none"/>
        </w:tabs>
        <w:bidi w:val="0"/>
        <w:spacing w:before="0" w:after="300"/>
        <w:ind w:hanging="360" w:left="1180" w:right="0"/>
        <w:jc w:val="left"/>
        <w:rPr>
          <w:color w:val="000000"/>
        </w:rPr>
      </w:pPr>
      <w:r>
        <w:rPr>
          <w:rStyle w:val="Teksttreci"/>
          <w:color w:val="000000"/>
        </w:rPr>
        <w:t>W przypadku złożenia oferty wspólnej, błąd formalny występujący po stronie jednego z podmiotów powoduje, że oferta nie będzie podlegała dalszej ocenie.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1185" w:leader="none"/>
        </w:tabs>
        <w:bidi w:val="0"/>
        <w:spacing w:before="0" w:after="220"/>
        <w:ind w:hanging="0" w:left="0" w:right="0"/>
        <w:jc w:val="left"/>
        <w:rPr>
          <w:b/>
          <w:bCs/>
          <w:color w:val="000000"/>
        </w:rPr>
      </w:pPr>
      <w:r>
        <w:rPr>
          <w:rStyle w:val="Teksttreci"/>
          <w:b/>
          <w:bCs/>
          <w:color w:val="000000"/>
        </w:rPr>
        <w:t>IX. Kryteria wyboru ofert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22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1. Komisja konkursowa rozpatruje oferty oddzielnie dla każdego zadania.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22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2. Oferty niespełniające wymogów formalnych nie podlegają dalszej ocenie.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361" w:leader="none"/>
        </w:tabs>
        <w:bidi w:val="0"/>
        <w:spacing w:before="0" w:after="22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3. Ocena merytoryczna oferty uwzględnia następujące kryteria:</w:t>
      </w:r>
    </w:p>
    <w:tbl>
      <w:tblPr>
        <w:tblW w:w="93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2"/>
        <w:gridCol w:w="1395"/>
      </w:tblGrid>
      <w:tr>
        <w:trPr>
          <w:trHeight w:val="302" w:hRule="exact"/>
        </w:trPr>
        <w:tc>
          <w:tcPr>
            <w:tcW w:w="93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OCENA MERYTORYCZNA</w:t>
            </w:r>
          </w:p>
        </w:tc>
      </w:tr>
      <w:tr>
        <w:trPr>
          <w:trHeight w:val="900" w:hRule="exact"/>
        </w:trPr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Kryteria oceny merytorycznej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center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Liczba przyznanych</w:t>
            </w:r>
          </w:p>
        </w:tc>
      </w:tr>
    </w:tbl>
    <w:p>
      <w:pPr>
        <w:pStyle w:val="Normal"/>
        <w:spacing w:lineRule="exact" w:line="1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br w:type="page"/>
      </w:r>
    </w:p>
    <w:tbl>
      <w:tblPr>
        <w:tblW w:w="93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4"/>
        <w:gridCol w:w="1279"/>
      </w:tblGrid>
      <w:tr>
        <w:trPr>
          <w:trHeight w:val="658" w:hRule="exact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</w:tcBorders>
            <w:shd w:color="auto" w:fill="BFBFBF" w:val="clear"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22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punktów</w:t>
            </w:r>
          </w:p>
        </w:tc>
      </w:tr>
      <w:tr>
        <w:trPr>
          <w:trHeight w:val="2194" w:hRule="exact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26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I Zawartość merytoryczna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2"/>
              </w:numPr>
              <w:shd w:val="clear" w:color="auto" w:fill="auto"/>
              <w:tabs>
                <w:tab w:val="clear" w:pos="720"/>
                <w:tab w:val="left" w:pos="566" w:leader="none"/>
              </w:tabs>
              <w:bidi w:val="0"/>
              <w:spacing w:lineRule="auto" w:line="240" w:before="0" w:after="0"/>
              <w:ind w:hanging="360" w:left="58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Staranność i szczegółowość opisu działań oraz rezultatów wynikających z realizacji zadania – </w:t>
            </w:r>
            <w:r>
              <w:rPr>
                <w:rStyle w:val="Inne"/>
                <w:b/>
                <w:bCs/>
                <w:color w:val="000000"/>
              </w:rPr>
              <w:t>0 - 10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2"/>
              </w:numPr>
              <w:shd w:val="clear" w:color="auto" w:fill="auto"/>
              <w:tabs>
                <w:tab w:val="clear" w:pos="720"/>
                <w:tab w:val="left" w:pos="633" w:leader="none"/>
              </w:tabs>
              <w:bidi w:val="0"/>
              <w:spacing w:lineRule="auto" w:line="240" w:before="0" w:after="0"/>
              <w:ind w:firstLine="22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Ilość uczestników zadania – </w:t>
            </w:r>
            <w:r>
              <w:rPr>
                <w:rStyle w:val="Inne"/>
                <w:b/>
                <w:bCs/>
                <w:color w:val="000000"/>
              </w:rPr>
              <w:t>0 - 10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2"/>
              </w:numPr>
              <w:shd w:val="clear" w:color="auto" w:fill="auto"/>
              <w:tabs>
                <w:tab w:val="clear" w:pos="720"/>
                <w:tab w:val="left" w:pos="566" w:leader="none"/>
              </w:tabs>
              <w:bidi w:val="0"/>
              <w:spacing w:lineRule="auto" w:line="240" w:before="0" w:after="0"/>
              <w:ind w:firstLine="22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Rzetelny i realny harmonogram działań – </w:t>
            </w:r>
            <w:r>
              <w:rPr>
                <w:rStyle w:val="Inne"/>
                <w:b/>
                <w:bCs/>
                <w:color w:val="000000"/>
              </w:rPr>
              <w:t>0 - 10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2"/>
              </w:numPr>
              <w:shd w:val="clear" w:color="auto" w:fill="auto"/>
              <w:tabs>
                <w:tab w:val="clear" w:pos="720"/>
                <w:tab w:val="left" w:pos="566" w:leader="none"/>
              </w:tabs>
              <w:bidi w:val="0"/>
              <w:spacing w:lineRule="auto" w:line="240" w:before="0" w:after="0"/>
              <w:ind w:firstLine="22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Kalkulacja kosztów w odniesieniu do zakresu rzeczowego zadania – </w:t>
            </w:r>
            <w:r>
              <w:rPr>
                <w:rStyle w:val="Inne"/>
                <w:b/>
                <w:bCs/>
                <w:color w:val="000000"/>
              </w:rPr>
              <w:t>0 - 10 pkt.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Max. 40</w:t>
            </w:r>
          </w:p>
        </w:tc>
      </w:tr>
      <w:tr>
        <w:trPr>
          <w:trHeight w:val="1656" w:hRule="exact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26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II Wkład rzeczowy i osobowy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3"/>
              </w:numPr>
              <w:shd w:val="clear" w:color="auto" w:fill="auto"/>
              <w:tabs>
                <w:tab w:val="clear" w:pos="720"/>
                <w:tab w:val="left" w:pos="346" w:leader="none"/>
              </w:tabs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Wkład rzeczowy (lokal, sprzęt, materiały) – </w:t>
            </w:r>
            <w:r>
              <w:rPr>
                <w:rStyle w:val="Inne"/>
                <w:b/>
                <w:bCs/>
                <w:color w:val="000000"/>
              </w:rPr>
              <w:t>0 - 10 pkt</w:t>
            </w:r>
            <w:r>
              <w:rPr>
                <w:rStyle w:val="Inne"/>
                <w:color w:val="000000"/>
              </w:rPr>
              <w:t>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3"/>
              </w:numPr>
              <w:shd w:val="clear" w:color="auto" w:fill="auto"/>
              <w:tabs>
                <w:tab w:val="clear" w:pos="720"/>
                <w:tab w:val="left" w:pos="346" w:leader="none"/>
              </w:tabs>
              <w:bidi w:val="0"/>
              <w:spacing w:lineRule="auto" w:line="240" w:before="0" w:after="0"/>
              <w:ind w:hanging="480" w:left="48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Wkład osobowy, w tym świadczenia wolontariuszy i praca społeczna członków – </w:t>
            </w:r>
            <w:r>
              <w:rPr>
                <w:rStyle w:val="Inne"/>
                <w:b/>
                <w:bCs/>
                <w:color w:val="000000"/>
              </w:rPr>
              <w:t>0 - 5 pkt.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Max. 15</w:t>
            </w:r>
          </w:p>
        </w:tc>
      </w:tr>
      <w:tr>
        <w:trPr>
          <w:trHeight w:val="1656" w:hRule="exact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26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III Potencjał realizacyjny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4"/>
              </w:numPr>
              <w:shd w:val="clear" w:color="auto" w:fill="auto"/>
              <w:tabs>
                <w:tab w:val="clear" w:pos="720"/>
                <w:tab w:val="left" w:pos="667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Dotychczasowe doświadczenie w realizacji zadań podobnego rodzaju – </w:t>
            </w:r>
            <w:r>
              <w:rPr>
                <w:rStyle w:val="Inne"/>
                <w:b/>
                <w:bCs/>
                <w:color w:val="000000"/>
              </w:rPr>
              <w:t>0 - 3 pkt</w:t>
            </w:r>
            <w:r>
              <w:rPr>
                <w:rStyle w:val="Inne"/>
                <w:color w:val="000000"/>
              </w:rPr>
              <w:t>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4"/>
              </w:numPr>
              <w:shd w:val="clear" w:color="auto" w:fill="auto"/>
              <w:tabs>
                <w:tab w:val="clear" w:pos="720"/>
                <w:tab w:val="left" w:pos="677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Zaangażowanie w realizację zadania osób o niezbędnych kwalifikacjach – </w:t>
            </w:r>
            <w:r>
              <w:rPr>
                <w:rStyle w:val="Inne"/>
                <w:b/>
                <w:bCs/>
                <w:color w:val="000000"/>
              </w:rPr>
              <w:t>0 - 3 pkt</w:t>
            </w:r>
            <w:r>
              <w:rPr>
                <w:rStyle w:val="Inne"/>
                <w:color w:val="000000"/>
              </w:rPr>
              <w:t>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4"/>
              </w:numPr>
              <w:shd w:val="clear" w:color="auto" w:fill="auto"/>
              <w:tabs>
                <w:tab w:val="clear" w:pos="720"/>
                <w:tab w:val="left" w:pos="710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Atrakcyjność i oryginalność oferty – </w:t>
            </w:r>
            <w:r>
              <w:rPr>
                <w:rStyle w:val="Inne"/>
                <w:b/>
                <w:bCs/>
                <w:color w:val="000000"/>
              </w:rPr>
              <w:t>0 - 4 pkt.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Max. 10</w:t>
            </w:r>
          </w:p>
        </w:tc>
      </w:tr>
      <w:tr>
        <w:trPr>
          <w:trHeight w:val="4070" w:hRule="exact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28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IV Udział środków finansowych własnych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5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Finansowe środki własne powyżej 65% ogółu kosztów – </w:t>
            </w:r>
            <w:r>
              <w:rPr>
                <w:rStyle w:val="Inne"/>
                <w:b/>
                <w:bCs/>
                <w:color w:val="000000"/>
              </w:rPr>
              <w:t>25 pkt</w:t>
            </w:r>
            <w:r>
              <w:rPr>
                <w:rStyle w:val="Inne"/>
                <w:color w:val="000000"/>
              </w:rPr>
              <w:t>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5"/>
              </w:numPr>
              <w:shd w:val="clear" w:color="auto" w:fill="auto"/>
              <w:tabs>
                <w:tab w:val="clear" w:pos="720"/>
                <w:tab w:val="left" w:pos="773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>
                <w:color w:val="000000"/>
              </w:rPr>
            </w:pPr>
            <w:r>
              <w:rPr>
                <w:rStyle w:val="Inne"/>
                <w:color w:val="000000"/>
              </w:rPr>
              <w:t>Finansowe środki własne powyżej 55% ogółu</w:t>
            </w:r>
          </w:p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72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kosztów – </w:t>
            </w:r>
            <w:r>
              <w:rPr>
                <w:rStyle w:val="Inne"/>
                <w:b/>
                <w:bCs/>
                <w:color w:val="000000"/>
              </w:rPr>
              <w:t>22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5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Finansowe środki własne powyżej 45% ogółu kosztów – </w:t>
            </w:r>
            <w:r>
              <w:rPr>
                <w:rStyle w:val="Inne"/>
                <w:b/>
                <w:bCs/>
                <w:color w:val="000000"/>
              </w:rPr>
              <w:t>19 pkt</w:t>
            </w:r>
            <w:r>
              <w:rPr>
                <w:rStyle w:val="Inne"/>
                <w:color w:val="000000"/>
              </w:rPr>
              <w:t>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5"/>
              </w:numPr>
              <w:shd w:val="clear" w:color="auto" w:fill="auto"/>
              <w:tabs>
                <w:tab w:val="clear" w:pos="720"/>
                <w:tab w:val="left" w:pos="778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>
                <w:color w:val="000000"/>
              </w:rPr>
            </w:pPr>
            <w:r>
              <w:rPr>
                <w:rStyle w:val="Inne"/>
                <w:color w:val="000000"/>
              </w:rPr>
              <w:t>Finansowe środki własne powyżej 35% ogółu</w:t>
            </w:r>
          </w:p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firstLine="72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kosztów – </w:t>
            </w:r>
            <w:r>
              <w:rPr>
                <w:rStyle w:val="Inne"/>
                <w:b/>
                <w:bCs/>
                <w:color w:val="000000"/>
              </w:rPr>
              <w:t>16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5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Finansowe środki własne powyżej 25% ogółu kosztów – </w:t>
            </w:r>
            <w:r>
              <w:rPr>
                <w:rStyle w:val="Inne"/>
                <w:b/>
                <w:bCs/>
                <w:color w:val="000000"/>
              </w:rPr>
              <w:t>13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5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Finansowe środki własne powyżej i równe 15% ogółu kosztów – </w:t>
            </w:r>
            <w:r>
              <w:rPr>
                <w:rStyle w:val="Inne"/>
                <w:b/>
                <w:bCs/>
                <w:color w:val="000000"/>
              </w:rPr>
              <w:t>10 pkt</w:t>
            </w:r>
            <w:r>
              <w:rPr>
                <w:rStyle w:val="Inne"/>
                <w:color w:val="000000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Max. 25</w:t>
            </w:r>
          </w:p>
        </w:tc>
      </w:tr>
      <w:tr>
        <w:trPr>
          <w:trHeight w:val="1920" w:hRule="exact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28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V Pobieranie/niepobieranie opłat od adresatów zadania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6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Pobieranie opłat, które przekraczają 5% kosztów całości zadania – </w:t>
            </w:r>
            <w:r>
              <w:rPr>
                <w:rStyle w:val="Inne"/>
                <w:b/>
                <w:bCs/>
                <w:color w:val="000000"/>
              </w:rPr>
              <w:t>0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6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hanging="360" w:left="72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Pobieranie opłat symbolicznych, które nie przekraczają 5% kosztów całości zadania – </w:t>
            </w:r>
            <w:r>
              <w:rPr>
                <w:rStyle w:val="Inne"/>
                <w:b/>
                <w:bCs/>
                <w:color w:val="000000"/>
              </w:rPr>
              <w:t>3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6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Niepobieranie opłat – </w:t>
            </w:r>
            <w:r>
              <w:rPr>
                <w:rStyle w:val="Inne"/>
                <w:b/>
                <w:bCs/>
                <w:color w:val="000000"/>
              </w:rPr>
              <w:t>5 pkt</w:t>
            </w:r>
            <w:r>
              <w:rPr>
                <w:rStyle w:val="Inne"/>
                <w:color w:val="000000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Max. 5</w:t>
            </w:r>
          </w:p>
        </w:tc>
      </w:tr>
      <w:tr>
        <w:trPr>
          <w:trHeight w:val="1666" w:hRule="exact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26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VI Ocena realizacji zadań zleconych w latach poprzednich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7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Rzetelność – </w:t>
            </w:r>
            <w:r>
              <w:rPr>
                <w:rStyle w:val="Inne"/>
                <w:b/>
                <w:bCs/>
                <w:color w:val="000000"/>
              </w:rPr>
              <w:t>0 -5 pkt.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7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Terminowość – </w:t>
            </w:r>
            <w:r>
              <w:rPr>
                <w:rStyle w:val="Inne"/>
                <w:b/>
                <w:bCs/>
                <w:color w:val="000000"/>
              </w:rPr>
              <w:t>0 – 5 pkt</w:t>
            </w:r>
            <w:r>
              <w:rPr>
                <w:rStyle w:val="Inne"/>
                <w:color w:val="000000"/>
              </w:rPr>
              <w:t>.</w:t>
            </w:r>
          </w:p>
          <w:p>
            <w:pPr>
              <w:pStyle w:val="Inne1"/>
              <w:keepNext w:val="false"/>
              <w:keepLines w:val="false"/>
              <w:widowControl w:val="false"/>
              <w:numPr>
                <w:ilvl w:val="0"/>
                <w:numId w:val="17"/>
              </w:numPr>
              <w:shd w:val="clear" w:color="auto" w:fill="auto"/>
              <w:tabs>
                <w:tab w:val="clear" w:pos="720"/>
                <w:tab w:val="left" w:pos="715" w:leader="none"/>
              </w:tabs>
              <w:bidi w:val="0"/>
              <w:spacing w:lineRule="auto" w:line="240" w:before="0" w:after="0"/>
              <w:ind w:firstLine="360" w:left="0" w:right="0"/>
              <w:jc w:val="left"/>
              <w:rPr/>
            </w:pPr>
            <w:r>
              <w:rPr>
                <w:rStyle w:val="Inne"/>
                <w:color w:val="000000"/>
              </w:rPr>
              <w:t xml:space="preserve">Sposób rozliczenia otrzymanych środków finansowych – </w:t>
            </w:r>
            <w:r>
              <w:rPr>
                <w:rStyle w:val="Inne"/>
                <w:b/>
                <w:bCs/>
                <w:color w:val="000000"/>
              </w:rPr>
              <w:t>0 -5 pkt</w:t>
            </w:r>
            <w:r>
              <w:rPr>
                <w:rStyle w:val="Inne"/>
                <w:color w:val="000000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hanging="0" w:left="0" w:right="0"/>
              <w:jc w:val="left"/>
              <w:rPr>
                <w:b/>
                <w:bCs/>
                <w:color w:val="000000"/>
              </w:rPr>
            </w:pPr>
            <w:r>
              <w:rPr>
                <w:rStyle w:val="Inne"/>
                <w:b/>
                <w:bCs/>
                <w:color w:val="000000"/>
              </w:rPr>
              <w:t>Max. 15</w:t>
            </w:r>
          </w:p>
        </w:tc>
      </w:tr>
    </w:tbl>
    <w:p>
      <w:pPr>
        <w:pStyle w:val="Normal"/>
        <w:widowControl w:val="false"/>
        <w:spacing w:lineRule="exact" w:line="1" w:before="0" w:after="299"/>
        <w:rPr>
          <w:color w:val="C9211E"/>
        </w:rPr>
      </w:pPr>
      <w:r>
        <w:rPr>
          <w:color w:val="C9211E"/>
        </w:rPr>
      </w:r>
    </w:p>
    <w:p>
      <w:pPr>
        <w:pStyle w:val="Teksttreci1"/>
        <w:keepNext w:val="false"/>
        <w:keepLines w:val="false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355" w:leader="none"/>
        </w:tabs>
        <w:bidi w:val="0"/>
        <w:spacing w:lineRule="auto" w:line="271" w:before="0" w:after="0"/>
        <w:ind w:hanging="0" w:left="380" w:right="0"/>
        <w:jc w:val="left"/>
        <w:rPr>
          <w:color w:val="000000"/>
        </w:rPr>
      </w:pPr>
      <w:r>
        <w:rPr>
          <w:rStyle w:val="Teksttreci"/>
          <w:color w:val="000000"/>
        </w:rPr>
        <w:t>4. Uzyskanie mniej niż 50% możliwych do uzyskania punktów nie kwalifikuje oferty do dalszego rozpatrzenia.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355" w:leader="none"/>
        </w:tabs>
        <w:suppressAutoHyphens w:val="true"/>
        <w:bidi w:val="0"/>
        <w:spacing w:lineRule="auto" w:line="271" w:before="0" w:after="0"/>
        <w:ind w:hanging="397" w:left="397" w:right="0"/>
        <w:jc w:val="left"/>
        <w:rPr>
          <w:color w:val="000000"/>
        </w:rPr>
      </w:pPr>
      <w:r>
        <w:rPr>
          <w:rStyle w:val="Nagwek1"/>
          <w:b/>
          <w:bCs/>
          <w:color w:val="000000"/>
        </w:rPr>
        <w:t xml:space="preserve">X. </w:t>
      </w:r>
      <w:bookmarkStart w:id="11" w:name="bookmark14"/>
      <w:r>
        <w:rPr>
          <w:rStyle w:val="Nagwek1"/>
          <w:b/>
          <w:bCs/>
          <w:color w:val="000000"/>
        </w:rPr>
        <w:t>Informacja o wysokości kosztów związanych z realizacją zadań publicznych w 2025 r.</w:t>
      </w:r>
      <w:bookmarkEnd w:id="11"/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71" w:before="0" w:after="300"/>
        <w:ind w:hanging="0" w:left="0" w:right="0"/>
        <w:jc w:val="both"/>
        <w:rPr>
          <w:color w:val="000000"/>
        </w:rPr>
      </w:pPr>
      <w:r>
        <w:rPr>
          <w:rStyle w:val="Teksttreci"/>
          <w:color w:val="000000"/>
        </w:rPr>
        <w:t>Dotacje przekazane przez Gminę Miejską Kamienna Góra na realizację zadań publicznych z obszaru kultury w roku 2025:</w:t>
      </w:r>
    </w:p>
    <w:p>
      <w:pPr>
        <w:pStyle w:val="Default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339" w:leader="none"/>
        </w:tabs>
        <w:bidi w:val="0"/>
        <w:spacing w:lineRule="auto" w:line="360" w:before="0" w:after="0"/>
        <w:ind w:hanging="0" w:left="0" w:right="0"/>
        <w:jc w:val="both"/>
        <w:rPr/>
      </w:pPr>
      <w:r>
        <w:rPr>
          <w:rStyle w:val="Teksttreci"/>
          <w:b/>
          <w:bCs/>
          <w:i/>
          <w:iCs/>
          <w:color w:val="000000"/>
        </w:rPr>
        <w:t xml:space="preserve">1. </w:t>
      </w:r>
      <w:r>
        <w:rPr>
          <w:b/>
          <w:bCs/>
          <w:i/>
          <w:iCs/>
          <w:color w:val="000000"/>
          <w:sz w:val="22"/>
        </w:rPr>
        <w:t xml:space="preserve">Fundacji na rzecz rozwoju Wrocławskiej Tkaniny Artystycznej na realizację zadania publicznego: 52 Międzynarodowy Festiwal Sztuki Włókna -2025. </w:t>
      </w:r>
    </w:p>
    <w:p>
      <w:pPr>
        <w:pStyle w:val="Default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339" w:leader="none"/>
        </w:tabs>
        <w:bidi w:val="0"/>
        <w:spacing w:lineRule="auto" w:line="360" w:before="0" w:after="0"/>
        <w:ind w:hanging="0" w:left="0" w:right="0"/>
        <w:jc w:val="both"/>
        <w:rPr>
          <w:b/>
          <w:bCs/>
          <w:i/>
          <w:i/>
          <w:iCs/>
          <w:color w:val="000000"/>
          <w:sz w:val="22"/>
        </w:rPr>
      </w:pPr>
      <w:r>
        <w:rPr>
          <w:b/>
          <w:bCs/>
          <w:i/>
          <w:iCs/>
          <w:color w:val="000000"/>
          <w:sz w:val="22"/>
        </w:rPr>
        <w:t>Przyznana kwota dotacji: 12 000 zł;</w:t>
      </w:r>
    </w:p>
    <w:p>
      <w:pPr>
        <w:pStyle w:val="Default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339" w:leader="none"/>
        </w:tabs>
        <w:bidi w:val="0"/>
        <w:spacing w:lineRule="auto" w:line="360" w:before="0" w:after="0"/>
        <w:ind w:hanging="0" w:left="0" w:right="0"/>
        <w:jc w:val="both"/>
        <w:rPr>
          <w:b/>
          <w:bCs/>
          <w:i/>
          <w:i/>
          <w:iCs/>
          <w:color w:val="000000"/>
          <w:sz w:val="22"/>
        </w:rPr>
      </w:pPr>
      <w:r>
        <w:rPr>
          <w:b/>
          <w:bCs/>
          <w:i/>
          <w:iCs/>
          <w:color w:val="000000"/>
          <w:sz w:val="22"/>
        </w:rPr>
        <w:t>2. Polski Związek Emerytów Rencistów i Inwalidów na realizację zadania publicznego: Poznajemy stolicę Polski.</w:t>
      </w:r>
    </w:p>
    <w:p>
      <w:pPr>
        <w:pStyle w:val="Default"/>
        <w:widowControl w:val="false"/>
        <w:shd w:val="clear" w:color="auto" w:fill="auto"/>
        <w:tabs>
          <w:tab w:val="clear" w:pos="720"/>
          <w:tab w:val="left" w:pos="339" w:leader="none"/>
        </w:tabs>
        <w:bidi w:val="0"/>
        <w:spacing w:lineRule="auto" w:line="360" w:before="0" w:after="0"/>
        <w:ind w:hanging="0" w:left="0" w:right="0"/>
        <w:jc w:val="both"/>
        <w:rPr>
          <w:b/>
          <w:bCs/>
          <w:i/>
          <w:i/>
          <w:iCs/>
          <w:color w:val="000000"/>
          <w:sz w:val="22"/>
        </w:rPr>
      </w:pPr>
      <w:r>
        <w:rPr>
          <w:b/>
          <w:bCs/>
          <w:i/>
          <w:iCs/>
          <w:color w:val="000000"/>
          <w:sz w:val="22"/>
        </w:rPr>
        <w:t>Przyznana kwota dotacji: 18 000 zł;</w:t>
      </w:r>
    </w:p>
    <w:p>
      <w:pPr>
        <w:pStyle w:val="Default"/>
        <w:widowControl w:val="false"/>
        <w:shd w:val="clear" w:color="auto" w:fill="auto"/>
        <w:tabs>
          <w:tab w:val="clear" w:pos="720"/>
          <w:tab w:val="left" w:pos="339" w:leader="none"/>
        </w:tabs>
        <w:bidi w:val="0"/>
        <w:spacing w:lineRule="auto" w:line="360" w:before="0" w:after="0"/>
        <w:ind w:hanging="0" w:left="0" w:right="0"/>
        <w:jc w:val="both"/>
        <w:rPr>
          <w:b/>
          <w:bCs/>
          <w:i/>
          <w:i/>
          <w:iCs/>
          <w:color w:val="000000"/>
          <w:sz w:val="22"/>
        </w:rPr>
      </w:pPr>
      <w:r>
        <w:rPr>
          <w:b/>
          <w:bCs/>
          <w:i/>
          <w:iCs/>
          <w:color w:val="000000"/>
          <w:sz w:val="22"/>
        </w:rPr>
      </w:r>
    </w:p>
    <w:p>
      <w:pPr>
        <w:pStyle w:val="Nagwek11"/>
        <w:keepNext w:val="true"/>
        <w:keepLines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1100" w:leader="none"/>
        </w:tabs>
        <w:bidi w:val="0"/>
        <w:spacing w:lineRule="auto" w:line="276" w:before="0" w:after="300"/>
        <w:ind w:hanging="0" w:left="0" w:right="0"/>
        <w:jc w:val="both"/>
        <w:rPr>
          <w:b/>
          <w:bCs/>
          <w:color w:val="000000"/>
        </w:rPr>
      </w:pPr>
      <w:r>
        <w:rPr>
          <w:rStyle w:val="Nagwek1"/>
          <w:b/>
          <w:bCs/>
          <w:color w:val="000000"/>
        </w:rPr>
        <w:t xml:space="preserve">XI. </w:t>
      </w:r>
      <w:bookmarkStart w:id="12" w:name="bookmark16"/>
      <w:r>
        <w:rPr>
          <w:rStyle w:val="Nagwek1"/>
          <w:b/>
          <w:bCs/>
          <w:color w:val="000000"/>
        </w:rPr>
        <w:t>Postanowienia końcowe</w:t>
      </w:r>
      <w:bookmarkEnd w:id="12"/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Szczegółowe i ostateczne warunki realizacji, finansowania i rozliczania zadania reguluje umowa pomiędzy Gminą Miejską Kamienna Góra a wnioskodawcą.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 xml:space="preserve">Wyłoniony oferent jest zobowiązany zamieszczać we wszystkich drukach związanych z realizacją zadania (plakatach, zaproszeniach, regulaminach, komunikatach, itp.), a także w ogłoszeniach prasowych, reklamach, wykazach sponsorów, itp., informacji o tym, że zadanie jest dotowane przez Gminę Miejską Kamienna Góra. Informacje takie winny być również podawane do publicznej wiadomości w trakcie realizacji zadania. </w:t>
      </w:r>
      <w:r>
        <w:rPr>
          <w:rStyle w:val="Teksttreci"/>
          <w:b/>
          <w:bCs/>
          <w:color w:val="000000"/>
        </w:rPr>
        <w:t>Dodatkowo oferent zobowiązany jest do zapraszania przedstawicieli władz miasta na wszystkie ważniejsze wydarzenia (turnieje, uroczystości, zawody sportowe itp.) organizowane w ramach zadania publicznego, na które została przyznana dotacja.</w:t>
      </w:r>
    </w:p>
    <w:p>
      <w:pPr>
        <w:pStyle w:val="Teksttreci1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 xml:space="preserve">W przypadku realizacji zadania z udziałem małoletnich wyłoniony oferent zobowiązany jest do stosowania ustawy z dnia 13 maja 2016 r. o przeciwdziałaniu zagrożeniom przestępczością na tle seksualnym i ochronie małoletnich. (t.j. Dz. U. Z 2024 r., poz. 1802 </w:t>
      </w:r>
      <w:r>
        <w:rPr>
          <w:rStyle w:val="Teksttreci"/>
          <w:color w:val="000000"/>
        </w:rPr>
        <w:t>z późn. zm.</w:t>
      </w:r>
      <w:r>
        <w:rPr>
          <w:rStyle w:val="Teksttreci"/>
          <w:color w:val="000000"/>
        </w:rPr>
        <w:t>).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W przypadku rezygnacji podmiotu lub odmowy podpisania umowy, zarezerwowane środki finansowe mogą być przeznaczone na ogłoszenie nowego konkursu lub na realizację zadania w innej formie.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Podstawą roszczeń finansowych w stosunku do Gminy Miejskiej Kamienna Góra może być wyłącznie zawarta umowa.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8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rStyle w:val="Teksttreci"/>
          <w:color w:val="000000"/>
        </w:rPr>
        <w:t>Szczegółowe informacje udzielane są przez: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600"/>
        <w:ind w:hanging="0" w:left="380" w:right="0"/>
        <w:jc w:val="both"/>
        <w:rPr>
          <w:b/>
          <w:bCs/>
          <w:color w:val="000000"/>
        </w:rPr>
      </w:pPr>
      <w:r>
        <w:rPr>
          <w:rStyle w:val="Teksttreci"/>
          <w:b/>
          <w:bCs/>
          <w:color w:val="000000"/>
        </w:rPr>
        <w:t>Wydział Zarządzania Kryzysowego i Polityki Społecznej Urzędu Miasta Kamienna Góra, plac Grunwaldzki 1, pok. 304,  tel. 75 645 51 36 lub 75 645 51 26.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0"/>
        <w:ind w:hanging="0" w:left="6580" w:right="0"/>
        <w:jc w:val="both"/>
        <w:rPr/>
      </w:pPr>
      <w:r>
        <w:rPr/>
        <w:t>Zastępca Burmistrz Miasta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6580" w:right="0"/>
        <w:jc w:val="both"/>
        <w:rPr/>
      </w:pPr>
      <w:r>
        <w:rPr/>
        <w:t xml:space="preserve">               </w:t>
      </w:r>
      <w:r>
        <w:rPr/>
        <w:t>Kamienna Góra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6580" w:right="0"/>
        <w:jc w:val="both"/>
        <w:rPr/>
      </w:pPr>
      <w:r>
        <w:rPr/>
        <w:t xml:space="preserve">               </w:t>
      </w:r>
      <w:r>
        <w:rPr/>
        <w:t>/-/ Paweł Fryc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6580" w:right="0"/>
        <w:jc w:val="both"/>
        <w:rPr/>
      </w:pPr>
      <w:r>
        <w:rPr/>
        <w:t xml:space="preserve"> </w:t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252" w:right="1169" w:gutter="0" w:header="0" w:top="610" w:footer="3" w:bottom="127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bri"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exact" w:line="1"/>
      <w:rPr/>
    </w:pPr>
    <w:r>
      <w:rPr/>
      <mc:AlternateContent>
        <mc:Choice Requires="wps">
          <w:drawing>
            <wp:anchor behindDoc="1" distT="635" distB="0" distL="0" distR="0" simplePos="0" locked="0" layoutInCell="0" allowOverlap="1" relativeHeight="14">
              <wp:simplePos x="0" y="0"/>
              <wp:positionH relativeFrom="page">
                <wp:posOffset>6625590</wp:posOffset>
              </wp:positionH>
              <wp:positionV relativeFrom="page">
                <wp:posOffset>9952990</wp:posOffset>
              </wp:positionV>
              <wp:extent cx="52070" cy="169545"/>
              <wp:effectExtent l="0" t="635" r="0" b="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agweklubstopka21"/>
                            <w:keepNext w:val="false"/>
                            <w:keepLines w:val="false"/>
                            <w:widowControl w:val="false"/>
                            <w:shd w:val="clear" w:color="auto" w:fill="auto"/>
                            <w:bidi w:val="0"/>
                            <w:spacing w:lineRule="auto" w:line="240" w:before="0" w:after="0"/>
                            <w:ind w:hanging="0" w:left="0" w:right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rFonts w:eastAsia="Calibri" w:cs="Calibri" w:ascii="Calibri" w:hAnsi="Calibri"/>
                              <w:color w:val="00000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" path="m0,0l-2147483645,0l-2147483645,-2147483646l0,-2147483646xe" stroked="f" o:allowincell="f" style="position:absolute;margin-left:521.7pt;margin-top:783.7pt;width:4.05pt;height:13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agweklubstopka21"/>
                      <w:keepNext w:val="false"/>
                      <w:keepLines w:val="false"/>
                      <w:widowControl w:val="false"/>
                      <w:shd w:val="clear" w:color="auto" w:fill="auto"/>
                      <w:bidi w:val="0"/>
                      <w:spacing w:lineRule="auto" w:line="240" w:before="0" w:after="0"/>
                      <w:ind w:hanging="0" w:left="0" w:right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rFonts w:eastAsia="Calibri" w:cs="Calibri" w:ascii="Calibri" w:hAnsi="Calibri"/>
                        <w:color w:val="00000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t>7</w:t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exact" w:line="1"/>
      <w:rPr/>
    </w:pPr>
    <w:r>
      <w:rPr/>
      <mc:AlternateContent>
        <mc:Choice Requires="wps">
          <w:drawing>
            <wp:anchor behindDoc="1" distT="635" distB="0" distL="0" distR="0" simplePos="0" locked="0" layoutInCell="0" allowOverlap="1" relativeHeight="14">
              <wp:simplePos x="0" y="0"/>
              <wp:positionH relativeFrom="page">
                <wp:posOffset>6625590</wp:posOffset>
              </wp:positionH>
              <wp:positionV relativeFrom="page">
                <wp:posOffset>9952990</wp:posOffset>
              </wp:positionV>
              <wp:extent cx="52070" cy="169545"/>
              <wp:effectExtent l="0" t="635" r="0" b="0"/>
              <wp:wrapNone/>
              <wp:docPr id="2" name="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agweklubstopka21"/>
                            <w:keepNext w:val="false"/>
                            <w:keepLines w:val="false"/>
                            <w:widowControl w:val="false"/>
                            <w:shd w:val="clear" w:color="auto" w:fill="auto"/>
                            <w:bidi w:val="0"/>
                            <w:spacing w:lineRule="auto" w:line="240" w:before="0" w:after="0"/>
                            <w:ind w:hanging="0" w:left="0" w:right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rFonts w:eastAsia="Calibri" w:cs="Calibri" w:ascii="Calibri" w:hAnsi="Calibri"/>
                              <w:color w:val="00000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Nagweklubstopka2"/>
                              <w:sz w:val="22"/>
                              <w:szCs w:val="22"/>
                              <w:rFonts w:eastAsia="Calibri" w:cs="Calibri"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" path="m0,0l-2147483645,0l-2147483645,-2147483646l0,-2147483646xe" stroked="f" o:allowincell="f" style="position:absolute;margin-left:521.7pt;margin-top:783.7pt;width:4.05pt;height:13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agweklubstopka21"/>
                      <w:keepNext w:val="false"/>
                      <w:keepLines w:val="false"/>
                      <w:widowControl w:val="false"/>
                      <w:shd w:val="clear" w:color="auto" w:fill="auto"/>
                      <w:bidi w:val="0"/>
                      <w:spacing w:lineRule="auto" w:line="240" w:before="0" w:after="0"/>
                      <w:ind w:hanging="0" w:left="0" w:right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rFonts w:eastAsia="Calibri" w:cs="Calibri" w:ascii="Calibri" w:hAnsi="Calibri"/>
                        <w:color w:val="00000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t>7</w:t>
                    </w:r>
                    <w:r>
                      <w:rPr>
                        <w:rStyle w:val="Nagweklubstopka2"/>
                        <w:sz w:val="22"/>
                        <w:szCs w:val="22"/>
                        <w:rFonts w:eastAsia="Calibri" w:cs="Calibri"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/>
        <w:shd w:fill="auto" w:val="clear"/>
        <w:szCs w:val="22"/>
        <w:iCs w:val="false"/>
        <w:bCs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pl-PL" w:eastAsia="pl-PL" w:bidi="pl-PL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Courier New" w:cs="Courier New"/>
      <w:color w:val="000000"/>
      <w:spacing w:val="0"/>
      <w:w w:val="100"/>
      <w:kern w:val="0"/>
      <w:sz w:val="24"/>
      <w:szCs w:val="24"/>
      <w:shd w:fill="auto" w:val="clear"/>
      <w:lang w:val="pl-PL" w:eastAsia="pl-PL" w:bidi="pl-PL"/>
    </w:rPr>
  </w:style>
  <w:style w:type="character" w:styleId="DefaultParagraphFont" w:default="1">
    <w:name w:val="Default Paragraph Font"/>
    <w:qFormat/>
    <w:rPr>
      <w:rFonts w:ascii="Courier New" w:hAnsi="Courier New" w:eastAsia="Courier New" w:cs="Courier New"/>
      <w:color w:val="000000"/>
      <w:spacing w:val="0"/>
      <w:w w:val="100"/>
      <w:sz w:val="24"/>
      <w:szCs w:val="24"/>
      <w:shd w:fill="auto" w:val="clear"/>
      <w:lang w:val="pl-PL" w:eastAsia="pl-PL" w:bidi="pl-PL"/>
    </w:rPr>
  </w:style>
  <w:style w:type="character" w:styleId="Teksttreci" w:customStyle="1">
    <w:name w:val="Tekst treści_"/>
    <w:basedOn w:val="DefaultParagraphFont"/>
    <w:link w:val="Teksttreci1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Nagweklubstopka2" w:customStyle="1">
    <w:name w:val="Nagłówek lub stopka (2)_"/>
    <w:basedOn w:val="DefaultParagraphFont"/>
    <w:link w:val="Nagweklubstopka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Nagwek1" w:customStyle="1">
    <w:name w:val="Nagłówek #1_"/>
    <w:basedOn w:val="DefaultParagraphFont"/>
    <w:link w:val="Nagwek11"/>
    <w:qFormat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Podpistabeli" w:customStyle="1">
    <w:name w:val="Podpis tabeli_"/>
    <w:basedOn w:val="DefaultParagraphFont"/>
    <w:link w:val="Podpistabeli1"/>
    <w:qFormat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Inne" w:customStyle="1">
    <w:name w:val="Inne_"/>
    <w:basedOn w:val="DefaultParagraphFont"/>
    <w:link w:val="Inne1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eksttreci1" w:customStyle="1">
    <w:name w:val="Tekst treści"/>
    <w:basedOn w:val="Normal"/>
    <w:link w:val="Teksttreci"/>
    <w:qFormat/>
    <w:pPr>
      <w:widowControl w:val="false"/>
      <w:shd w:val="clear" w:color="auto" w:fill="auto"/>
      <w:spacing w:lineRule="auto" w:line="276" w:before="0" w:after="280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lubstopka21" w:customStyle="1">
    <w:name w:val="Nagłówek lub stopka (2)"/>
    <w:basedOn w:val="Normal"/>
    <w:link w:val="Nagweklubstopka2"/>
    <w:qFormat/>
    <w:pPr>
      <w:widowControl w:val="false"/>
      <w:shd w:val="clear" w:color="auto" w:fil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Nagwek11" w:customStyle="1">
    <w:name w:val="Nagłówek #1"/>
    <w:basedOn w:val="Normal"/>
    <w:link w:val="Nagwek1"/>
    <w:qFormat/>
    <w:pPr>
      <w:widowControl w:val="false"/>
      <w:shd w:val="clear" w:color="auto" w:fill="auto"/>
      <w:spacing w:lineRule="auto" w:line="271" w:before="0" w:after="280"/>
      <w:ind w:firstLine="380" w:left="0" w:right="0"/>
      <w:outlineLvl w:val="0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Podpistabeli1" w:customStyle="1">
    <w:name w:val="Podpis tabeli"/>
    <w:basedOn w:val="Normal"/>
    <w:link w:val="Podpistabeli"/>
    <w:qFormat/>
    <w:pPr>
      <w:widowControl w:val="false"/>
      <w:shd w:val="clear" w:color="auto" w:fill="auto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Inne1" w:customStyle="1">
    <w:name w:val="Inne"/>
    <w:basedOn w:val="Normal"/>
    <w:link w:val="Inne"/>
    <w:qFormat/>
    <w:pPr>
      <w:widowControl w:val="false"/>
      <w:shd w:val="clear" w:color="auto" w:fill="auto"/>
      <w:spacing w:lineRule="auto" w:line="276" w:before="0" w:after="280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user"/>
    <w:pPr/>
    <w:rPr/>
  </w:style>
  <w:style w:type="paragraph" w:styleId="Zawartoramkiuser">
    <w:name w:val="Zawartość ramki (user)"/>
    <w:basedOn w:val="Normal"/>
    <w:qFormat/>
    <w:pPr/>
    <w:rPr/>
  </w:style>
  <w:style w:type="paragraph" w:styleId="NormalWeb">
    <w:name w:val="Normal (Web)"/>
    <w:basedOn w:val="Normal"/>
    <w:qFormat/>
    <w:pPr>
      <w:spacing w:beforeAutospacing="1" w:afterAutospacing="1"/>
    </w:pPr>
    <w:rPr>
      <w:color w:val="auto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ourier New" w:cs="Courier New"/>
      <w:color w:val="000000"/>
      <w:kern w:val="0"/>
      <w:sz w:val="24"/>
      <w:szCs w:val="24"/>
      <w:lang w:val="pl-PL" w:eastAsia="pl-PL" w:bidi="pl-PL"/>
    </w:rPr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sap.sejm.gov.pl/isap.nsf/DocDetails.xsp?id=WDU20250001153" TargetMode="External"/><Relationship Id="rId3" Type="http://schemas.openxmlformats.org/officeDocument/2006/relationships/hyperlink" Target="https://isap.sejm.gov.pl/isap.nsf/DocDetails.xsp?id=WDU20250001338" TargetMode="External"/><Relationship Id="rId4" Type="http://schemas.openxmlformats.org/officeDocument/2006/relationships/hyperlink" Target="https://isap.sejm.gov.pl/isap.nsf/DocDetails.xsp?id=WDU20250001153" TargetMode="External"/><Relationship Id="rId5" Type="http://schemas.openxmlformats.org/officeDocument/2006/relationships/hyperlink" Target="https://isap.sejm.gov.pl/isap.nsf/DocDetails.xsp?id=WDU20250001153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327</TotalTime>
  <Application>LibreOffice/25.2.7.2$Windows_X86_64 LibreOffice_project/5cbfd1ab6520636bb5f7b99185aa69bd7456825d</Application>
  <AppVersion>15.0000</AppVersion>
  <Pages>7</Pages>
  <Words>2259</Words>
  <Characters>13967</Characters>
  <CharactersWithSpaces>16072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2024-04-02T08:21:00Z</dcterms:created>
  <dc:creator>Burmistrz Miasta Kamienna Gora</dc:creator>
  <dc:description/>
  <dc:language>pl-PL</dc:language>
  <cp:lastModifiedBy/>
  <cp:lastPrinted>2025-01-28T13:59:23Z</cp:lastPrinted>
  <dcterms:modified xsi:type="dcterms:W3CDTF">2026-01-26T10:02:37Z</dcterms:modified>
  <cp:revision>42</cp:revision>
  <dc:subject>Zarządzenie Nr 96/2024 z dnia 29 marca 2024 r. Burmistrza Miasta Kamienna Góra w sprawie ogłoszenia wyników II otwartego konkursu ofert na wspieranie wykonywania zadań publicznych w obszarze kultury wraz z udzieleniem dotacji na dofinansowanie ich realizacji w 2024 roku</dc:subject>
  <dc:title>Zarządzenie Nr 96/2024 Burmistrza Miasta Kamienna Góra z dnia 29 marca 2024 r. w sprawie ogłoszenia wyników II otwartego konkursu ofert na wspieranie wykonywania zadań publicznych w obszarze kultury wraz z udzieleniem dotacji na dofinansowanie ich realizacji w 2024 roku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