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 w:val="false"/>
        <w:shd w:val="clear" w:color="auto" w:fill="auto"/>
        <w:bidi w:val="0"/>
        <w:spacing w:lineRule="auto" w:line="240" w:before="120" w:after="280"/>
        <w:ind w:hanging="0" w:left="0" w:right="0"/>
        <w:jc w:val="both"/>
        <w:rPr/>
      </w:pPr>
      <w:bookmarkStart w:id="0" w:name="049f7fdd-14c5-446d-8d27-50b0bb80a2be"/>
      <w:bookmarkEnd w:id="0"/>
      <w:r>
        <w:rPr>
          <w:rStyle w:val="Teksttreci"/>
          <w:sz w:val="24"/>
          <w:szCs w:val="24"/>
          <w:u w:val="none"/>
        </w:rPr>
        <w:t xml:space="preserve">Na podstawie art. 18 ust. 2 pkt 15 ustawy z dnia 8 marca 1990 r. o samorządzie gminnym </w:t>
      </w:r>
      <w:hyperlink r:id="rId2">
        <w:bookmarkStart w:id="1" w:name="59a62ef4-b6b0-49d0-b201-e625523a52d5"/>
        <w:bookmarkEnd w:id="1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4"/>
            <w:szCs w:val="24"/>
            <w:u w:val="none"/>
          </w:rPr>
          <w:t>Dz.U. z 2025 r. poz. 1153 z późn. zm.</w:t>
        </w:r>
      </w:hyperlink>
      <w:r>
        <w:rPr>
          <w:rStyle w:val="Teksttreci"/>
          <w:sz w:val="24"/>
          <w:szCs w:val="24"/>
          <w:u w:val="none"/>
        </w:rPr>
        <w:t xml:space="preserve">), w związku z art. 5a ust. 1 ustawy z dnia 24 kwietnia 2003 r. o działalności pożytku publicznego i o wolontariacie </w:t>
      </w:r>
      <w:hyperlink r:id="rId3">
        <w:bookmarkStart w:id="2" w:name="11f6cc66-0c08-4f0f-97e6-423aa1c52aaf"/>
        <w:bookmarkEnd w:id="2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sz w:val="24"/>
            <w:szCs w:val="24"/>
            <w:u w:val="none"/>
          </w:rPr>
          <w:t>(</w:t>
        </w:r>
      </w:hyperlink>
      <w:bookmarkStart w:id="3" w:name="1dfdc464-4c0f-491f-90da-df871b3ab159"/>
      <w:bookmarkEnd w:id="3"/>
      <w:r>
        <w:rPr>
          <w:rStyle w:val="Teksttreci"/>
          <w:sz w:val="24"/>
          <w:szCs w:val="24"/>
          <w:u w:val="none"/>
        </w:rPr>
        <w:t xml:space="preserve">Dz.U. z 2025 poz. 1338) oraz </w:t>
      </w:r>
      <w:bookmarkStart w:id="4" w:name="c90a27b5-6c90-4d15-a7f6-cb8b49485e46"/>
      <w:bookmarkEnd w:id="4"/>
      <w:r>
        <w:rPr>
          <w:rStyle w:val="Strong"/>
          <w:rFonts w:eastAsia="Calibri" w:cs="Calibri"/>
          <w:b w:val="false"/>
          <w:bCs w:val="false"/>
          <w:sz w:val="24"/>
          <w:szCs w:val="24"/>
          <w:u w:val="none"/>
        </w:rPr>
        <w:t>Uchwały nr XXI/136/25</w:t>
      </w:r>
      <w:r>
        <w:rPr>
          <w:rStyle w:val="Teksttreci"/>
          <w:sz w:val="24"/>
          <w:szCs w:val="24"/>
          <w:u w:val="none"/>
        </w:rPr>
        <w:t xml:space="preserve"> Rady Miasta Kamienna Góra   z dnia 26 listopada 2025 r. w sprawie przyjęcia „Programu współpracy Gminy Miejskiej Kamienna Góra z organizacjami pozarządowymi i innymi podmiotami prowadzącymi działalność pożytku publicznego na rok 2026”.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rFonts w:ascii="Times New Roman" w:hAnsi="Times New Roman"/>
          <w:b/>
          <w:bCs/>
          <w:sz w:val="24"/>
          <w:szCs w:val="24"/>
        </w:rPr>
        <w:t>Burmistrz Miasta Kamienna Góra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Style w:val="Teksttreci"/>
          <w:b/>
          <w:bCs/>
          <w:sz w:val="24"/>
          <w:szCs w:val="24"/>
        </w:rPr>
        <w:t>ogłasza otwarty konkurs ofert na wspieranie wykonywania zadań publicznych</w:t>
        <w:br/>
      </w:r>
      <w:r>
        <w:rPr>
          <w:rStyle w:val="Teksttreci"/>
          <w:b/>
          <w:bCs/>
          <w:sz w:val="24"/>
          <w:szCs w:val="24"/>
          <w:u w:val="none"/>
        </w:rPr>
        <w:t>w obszarze: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Style w:val="Strong"/>
          <w:rFonts w:cs="Calibri" w:cstheme="minorHAnsi"/>
          <w:sz w:val="24"/>
          <w:szCs w:val="24"/>
          <w:u w:val="none"/>
        </w:rPr>
        <w:t xml:space="preserve"> </w:t>
      </w:r>
      <w:r>
        <w:rPr>
          <w:rStyle w:val="Strong"/>
          <w:rFonts w:cs="Calibri" w:cstheme="minorHAnsi"/>
          <w:sz w:val="24"/>
          <w:szCs w:val="24"/>
          <w:u w:val="single"/>
        </w:rPr>
        <w:t>POMOC SPOŁECZNA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Style w:val="Strong"/>
          <w:rFonts w:cs="Calibri" w:cstheme="minorHAnsi"/>
          <w:sz w:val="24"/>
          <w:szCs w:val="24"/>
        </w:rPr>
        <w:t>wraz z udzieleniem dotacji na dofinansowanie ich realizacji w 2026 roku</w:t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Cele i rodzaj zadania.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4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Cele:</w:t>
      </w:r>
    </w:p>
    <w:p>
      <w:pPr>
        <w:pStyle w:val="ListParagraph"/>
        <w:numPr>
          <w:ilvl w:val="0"/>
          <w:numId w:val="21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wspieranie mieszkańców w trudnej sytuacji życiowej,</w:t>
      </w:r>
    </w:p>
    <w:p>
      <w:pPr>
        <w:pStyle w:val="ListParagraph"/>
        <w:numPr>
          <w:ilvl w:val="0"/>
          <w:numId w:val="21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zapewnienie podstawowych potrzeb.</w:t>
      </w:r>
    </w:p>
    <w:p>
      <w:pPr>
        <w:pStyle w:val="ListParagraph"/>
        <w:spacing w:lineRule="auto" w:line="259" w:before="0" w:after="160"/>
        <w:ind w:left="1080"/>
        <w:contextualSpacing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ListParagraph"/>
        <w:numPr>
          <w:ilvl w:val="0"/>
          <w:numId w:val="14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Rodzaj zadania:</w:t>
      </w:r>
    </w:p>
    <w:p>
      <w:pPr>
        <w:pStyle w:val="ListParagraph"/>
        <w:numPr>
          <w:ilvl w:val="0"/>
          <w:numId w:val="20"/>
        </w:numPr>
        <w:spacing w:lineRule="auto" w:line="259" w:before="0" w:after="160"/>
        <w:ind w:hanging="360"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obsługa i dystrybucja żywności, dożywianie mieszkańców Gminy Miejskiej Kamienna Góra, znajdujących się w trudnej sytuacji materialnej,</w:t>
      </w:r>
    </w:p>
    <w:p>
      <w:pPr>
        <w:pStyle w:val="ListParagraph"/>
        <w:numPr>
          <w:ilvl w:val="0"/>
          <w:numId w:val="20"/>
        </w:numPr>
        <w:spacing w:lineRule="auto" w:line="259" w:before="0" w:after="160"/>
        <w:ind w:hanging="360"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promocja i organizacja wolontariatu.</w:t>
      </w:r>
    </w:p>
    <w:p>
      <w:pPr>
        <w:pStyle w:val="ListParagraph"/>
        <w:spacing w:lineRule="auto" w:line="259" w:before="0" w:after="160"/>
        <w:ind w:left="360"/>
        <w:contextualSpacing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Wysokość środków publicznych przeznaczonych na realizację tego zadania</w:t>
      </w:r>
    </w:p>
    <w:p>
      <w:pPr>
        <w:pStyle w:val="Normal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Wysokość środków publicznych przekazanych na realizację zadania wyniesie: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  <w:u w:val="none"/>
        </w:rPr>
        <w:t>20 0</w:t>
      </w:r>
      <w:r>
        <w:rPr>
          <w:rFonts w:cs="Calibri" w:cstheme="minorHAnsi"/>
          <w:b/>
          <w:sz w:val="24"/>
          <w:szCs w:val="24"/>
          <w:u w:val="none"/>
        </w:rPr>
        <w:t>00,00 zł.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  <w:u w:val="none"/>
        </w:rPr>
      </w:pPr>
      <w:r>
        <w:rPr>
          <w:rFonts w:cs="Calibri" w:cstheme="minorHAnsi"/>
          <w:sz w:val="24"/>
          <w:szCs w:val="24"/>
          <w:u w:val="none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Zasady przyznawania dotacji: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Teksttreci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47" w:leader="none"/>
        </w:tabs>
        <w:bidi w:val="0"/>
        <w:spacing w:before="0" w:after="28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Zlecenie realizacji zadania i udzielenie dofinansowania następuje z odpowiednim zastosowaniem przepisów ustawy z dnia 24 kwietnia 2003 r. o działalności pożytku publicznego i o wolontariacie (</w:t>
      </w:r>
      <w:hyperlink r:id="rId4">
        <w:bookmarkStart w:id="5" w:name="59a62ef4-b6b0-49d0-b201-e625523a52d5_kop"/>
        <w:bookmarkEnd w:id="5"/>
        <w:r>
          <w:rPr>
            <w:rStyle w:val="Hyperlink"/>
            <w:rFonts w:eastAsia="Calibri" w:cs="Calibri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>Dz.U. z 2025 r. poz. </w:t>
        </w:r>
        <w:r>
          <w:rPr>
            <w:rStyle w:val="Hyperlink"/>
            <w:rFonts w:eastAsia="Calibri" w:cs="Calibri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>1338</w:t>
        </w:r>
        <w:r>
          <w:rPr>
            <w:rStyle w:val="Hyperlink"/>
            <w:rFonts w:eastAsia="Calibri" w:cs="Calibri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 xml:space="preserve"> z późn. zm.</w:t>
        </w:r>
      </w:hyperlink>
      <w:r>
        <w:rPr>
          <w:rStyle w:val="Teksttreci"/>
          <w:color w:val="000000"/>
        </w:rPr>
        <w:t>) oraz ustawy z dnia 27 sierpnia 2009 r. o finansach publicznych (Dz.U. z 2025 r., poz. 1483 z późn. zm. ) udzielenie dofinansowania na realizację zadania publicznego oznacza, że oferent w ofercie realizacji zadania publicznego wykazuje wkład finansowy własny.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Złożenie oferty nie jest równoznaczne z przyznaniem dotacji lub przyznaniem dotacji </w:t>
        <w:br/>
        <w:t>w oczekiwanej wysokości.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Kwota przeznaczona na realizację poszczególnych zadań może ulec zmniejszeniu w przypadku stwierdzenia, że zadania te można realizować mniejszym kosztem, złożone oferty nie uzyskają akceptacji Burmistrza Miasta Kamienna Góra lub zaistnieje konieczność zmniejszenia budżetu Gminy w części przeznaczonej na realizację zadania z ważnych przyczyn, niemożliwych do przewidzenia w dniu ogłoszenia konkursu.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Ogólna kwota dotacji przeznaczona na realizację zadania może być podzielona między wnioskodawców.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zmniejszenia wysokości wnioskowanej dotacji wnioskodawca może zmniejszyć zakres rzeczowy zadania i kosztorys lub wycofać ofertę.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ramach udzielonej dotacji będą finansowane wyłącznie koszty bezpośrednio związane </w:t>
        <w:br/>
        <w:t>z realizacją zadania.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Możliwe jest przekazanie dotacji w transzach – zależy to od specyfiki i harmonogramu realizacji projektu.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W konkursie nie przewiduje się wyceny wkładu rzeczowego wnoszonego do projektów.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warunki realizacji zadań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agwek11"/>
        <w:keepNext w:val="true"/>
        <w:keepLines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46" w:leader="none"/>
        </w:tabs>
        <w:bidi w:val="0"/>
        <w:spacing w:before="0" w:after="280"/>
        <w:ind w:hanging="360" w:left="360" w:right="0"/>
        <w:jc w:val="both"/>
        <w:rPr/>
      </w:pPr>
      <w:r>
        <w:rPr>
          <w:rStyle w:val="Nagwek1"/>
          <w:b w:val="false"/>
          <w:bCs w:val="false"/>
          <w:color w:val="000000"/>
        </w:rPr>
        <w:t xml:space="preserve">Zadania muszą być wykonane w roku 2026. </w:t>
      </w:r>
      <w:r>
        <w:rPr>
          <w:rStyle w:val="Nagwek1"/>
          <w:b/>
          <w:bCs/>
          <w:color w:val="000000"/>
        </w:rPr>
        <w:t>Początek realizacji zadania powinien nastąpić nie wcześniej niż</w:t>
      </w:r>
      <w:r>
        <w:rPr>
          <w:rStyle w:val="Nagwek1"/>
          <w:b/>
          <w:bCs/>
          <w:color w:val="FF0000"/>
        </w:rPr>
        <w:t xml:space="preserve"> </w:t>
      </w:r>
      <w:r>
        <w:rPr>
          <w:rStyle w:val="Nagwek1"/>
          <w:b/>
          <w:bCs/>
          <w:color w:val="000000"/>
        </w:rPr>
        <w:t>26 stycznia 2026 r., a zakończenie nie później niż 31 grudnia 2026 r.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Beneficjent musi zapewnić wkład własny finansowy.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Oferent może wydatkować przyznane mu w ramach dotacji środki od dnia podpisania umowy. Środki na realizację zadania wydatkowane pomiędzy 26 stycznia 2026 r., a datą podpisania umowy, stanowią wkład własny organizacji.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Dopuszcza się w trakcie realizacji zadania możliwość dokonywania przesunięć w zakresie poszczególnych pozycji kosztów działania oraz </w:t>
      </w:r>
      <w:r>
        <w:rPr>
          <w:rFonts w:cs="Calibri" w:cstheme="minorHAnsi"/>
          <w:sz w:val="24"/>
          <w:szCs w:val="24"/>
          <w:u w:val="single"/>
        </w:rPr>
        <w:t>pomiędzy działaniami o 20%.</w:t>
      </w:r>
      <w:r>
        <w:rPr>
          <w:rFonts w:cs="Calibri" w:cstheme="minorHAnsi"/>
          <w:sz w:val="24"/>
          <w:szCs w:val="24"/>
        </w:rPr>
        <w:t xml:space="preserve"> Zmniejszenie nie jest limitowane. Zmiany do wyżej określonego poziomu nie wymagają aneksu do umowy.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Zadanie powinno być realizowane z najwyższą starannością, zgodnie z zawartą umową oraz obowiązującymi standardami, w zakresie opisanym w ofercie.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Zadania powinno być realizowane w taki sposób, by swoimi działaniami obejmowało </w:t>
        <w:br/>
        <w:t>jak największą liczbę beneficjentów.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warunki składania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Teksttreci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46" w:leader="none"/>
        </w:tabs>
        <w:bidi w:val="0"/>
        <w:spacing w:lineRule="auto" w:line="271" w:before="0" w:after="280"/>
        <w:ind w:hanging="360" w:left="360" w:right="0"/>
        <w:jc w:val="both"/>
        <w:rPr/>
      </w:pPr>
      <w:r>
        <w:rPr>
          <w:rStyle w:val="Teksttreci"/>
          <w:color w:val="000000"/>
        </w:rPr>
        <w:t>Oferty dotyczące wspierania realizacji zadań publicznych w zakresie zadania objętego niniejszym konkursem należy złożyć w terminie do dnia</w:t>
      </w:r>
      <w:r>
        <w:rPr>
          <w:rStyle w:val="Teksttreci"/>
          <w:color w:val="C9211E"/>
        </w:rPr>
        <w:t xml:space="preserve"> </w:t>
      </w:r>
      <w:r>
        <w:rPr>
          <w:rStyle w:val="Teksttreci"/>
          <w:b/>
          <w:bCs/>
          <w:color w:val="000000"/>
        </w:rPr>
        <w:t>24 lutego 2026 r.</w:t>
      </w:r>
      <w:r>
        <w:rPr>
          <w:rStyle w:val="Teksttreci"/>
          <w:b/>
          <w:bCs/>
          <w:color w:val="C9211E"/>
        </w:rPr>
        <w:t xml:space="preserve">  </w:t>
      </w:r>
      <w:r>
        <w:rPr>
          <w:rStyle w:val="Teksttreci"/>
          <w:b/>
          <w:bCs/>
          <w:color w:val="000000"/>
        </w:rPr>
        <w:t xml:space="preserve">do godziny 15.30 w siedzibie Urzędu Miasta Kamienna Góra przy placu Grunwaldzkim 1 w Biurze Obsługi Klienta lub przesłać </w:t>
      </w:r>
      <w:r>
        <w:rPr>
          <w:rStyle w:val="Teksttreci"/>
          <w:color w:val="000000"/>
        </w:rPr>
        <w:t xml:space="preserve">drogą pocztową na adres Urzędu Miasta w Kamiennej Górze, plac Grunwaldzki 1, 58-400 Kamienna Góra </w:t>
      </w:r>
      <w:r>
        <w:rPr>
          <w:rStyle w:val="Teksttreci"/>
          <w:b/>
          <w:bCs/>
          <w:color w:val="000000"/>
        </w:rPr>
        <w:t xml:space="preserve">(liczy się data wpływu do urzędu, a nie stempla pocztowego). </w:t>
      </w:r>
      <w:r>
        <w:rPr>
          <w:rStyle w:val="Teksttreci"/>
          <w:color w:val="000000"/>
        </w:rPr>
        <w:t>Oferty przesyłane drogą elektroniczną nie będą przyjmowane.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Oferty powinny być złożone w zamkniętych kopertach z napisem: </w:t>
      </w:r>
      <w:r>
        <w:rPr>
          <w:rFonts w:cs="Calibri" w:cstheme="minorHAnsi"/>
          <w:b/>
          <w:bCs/>
          <w:sz w:val="24"/>
          <w:szCs w:val="24"/>
        </w:rPr>
        <w:t>„Konkurs ofert 2026” wraz z oznaczonym rodzajem zadania zgodnie z ogłoszeniem konkursowym.</w:t>
      </w:r>
      <w:r>
        <w:rPr>
          <w:rFonts w:cs="Calibri" w:cstheme="minorHAnsi"/>
          <w:sz w:val="24"/>
          <w:szCs w:val="24"/>
        </w:rPr>
        <w:t xml:space="preserve"> W przypadku składania więcej niż jednej oferty, dopuszcza się załączenie jednego kompletu załączników ze wskazaniem na pierwszej stronie (dopisek) przy której ofercie się znajdują.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Oferty muszą być sporządzone zgodnie z wzorem określonym w Rozporządzeniu Przewodniczącego Komitetu do Spraw Pożytku Publicznego z dnia 24 października 2018 r. w sprawie wzorów ofert i ramowych wzorów umów dotyczących realizacji zadań publicznych oraz wzorów sprawozdań z wykonania tych zadań. 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Do oferty konkursowej obligatoryjnie należy dołączyć: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kopię aktualnego statutu,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kopię wyciągu z innego rejestru niż KRS, ewidencji lub innego dokumentu  potwierdzającego status prawny Oferenta oraz nazwiska i funkcję osób upoważnionych do składania oświadczeń woli w jego imieniu (np. wypis z ewidencji klubów sportowych gdy zawiera ww. informację lub wypis z ewidencji i statut lub inny dokument jeżeli wypis nie zawiera ww. informacji; wyciąg musi być zgodny ze stanem faktycznym i prawnym, niezależnie od tego, kiedy został wydany),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pełnomocnictwa i upoważnienia dla osób składających ofertę do reprezentowania podmiotu, jeżeli dane osoby nie są ujęte w dokumencie stanowiącym o podstawie działalności podmiotu,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rozpoczęcia procedury zmiany zarządu/władz/sposobu reprezentacji oferenta – uchwałę dot. zmiany/wyboru nowo wybranych osób oraz kserokopię wniosku dot. zmian złożonego do KRS/właściwego rejestru,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 (-ów),</w:t>
      </w:r>
    </w:p>
    <w:p>
      <w:pPr>
        <w:pStyle w:val="ListParagraph"/>
        <w:spacing w:lineRule="auto" w:line="276"/>
        <w:ind w:left="36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 gwarancjach i wolności sumienia i wyznania, jeżeli ich cele statutowe obejmują prowadzenie działalności pożytku publicznego, dekret powołujący na proboszcza lub inna funkcję, upoważniający do składania oświadczeń i zaciągania zobowiązań,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składania oferty wspólnej – umowę zawartą pomiędzy partnerami, określającą zakres ich świadczeń składających się na realizację zadania publicznego,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spółek akcyjnych i spółek z o.o. oraz klubów sportowych działających na podstawie przepisów ustawy z dnia 25 czerwca 2010 r. o sporcie, które nie działają w celu osiągnięcia zysku oraz przeznaczają całość zysków na działalność statutową oraz nie przeznaczają zysku do podziału między swoich członków, udziałowców, akcjonariuszy i pracowników dodatkowo wymagany jest statut.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Terenowe oddziały organizacji (nieposiadające osobowości prawnej) mogą złożyć ofertę wyłącznie za zgodą zarządu głównego organizacji.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W przypadku złożenia kserokopii dokumentów wymienionych w ust. 4 muszą być one potwierdzone na każdej stronie kopii, za zgodność z oryginałem </w:t>
      </w:r>
      <w:r>
        <w:rPr>
          <w:rFonts w:cs="Calibri" w:cstheme="minorHAnsi"/>
          <w:sz w:val="24"/>
          <w:szCs w:val="24"/>
        </w:rPr>
        <w:t>przez co najmniej jedną osobę reprezentującą podmiot występujący o dotację lub osobę upoważnioną do potwierdzania dokumentów dla tych osób wraz z pieczątkami imiennymi, a w przypadku ich braku wymagane są czytelne podpisy.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tryb wyboru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Ostateczne rozstrzygnięcie konkursu nastąpi w terminie </w:t>
      </w:r>
      <w:r>
        <w:rPr>
          <w:rFonts w:cs="Calibri" w:cstheme="minorHAnsi"/>
          <w:b/>
          <w:bCs/>
          <w:sz w:val="24"/>
          <w:szCs w:val="24"/>
          <w:u w:val="single"/>
        </w:rPr>
        <w:t>nie później niż 30 dni</w:t>
      </w:r>
      <w:r>
        <w:rPr>
          <w:rFonts w:cs="Calibri" w:cstheme="minorHAnsi"/>
          <w:sz w:val="24"/>
          <w:szCs w:val="24"/>
        </w:rPr>
        <w:t xml:space="preserve"> od dnia upływu terminu składania ofert. Możliwe jest dokonywanie rozstrzygnięć w kilku etapach.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Wszystkie oferty złożone zgodnie z przepisami zawartymi w rozdziale 5 zostaną ocenione pod względem formalnym i merytorycznym przez komisję konkursową powołaną przez Burmistrza Miasta Kamienna Góra.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Decyzję o udzieleniu dotacji podejmuje Burmistrz Miasta Kamienna Góra w formie zarządzenia.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Burmistrz Miasta Kamienna Góra w terminie 7 dni po upływie terminu określonego w ust. 1 zawiadamia w formie pisemnej wnioskodawców o przyjęciu oferty do realizacji lub jej odrzuceniu.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Ogólne zasady kwalifikowalności kosztów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zostaną uznane za kwalifikowalne, gdy: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związane są z realizowanym zadaniem i są niezbędne do jego realizacji,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uwzględnione w kosztorysie zadania,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skalkulowane racjonalnie na podstawie cen rynkowych,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odzwierciedlają koszty rzeczywiste, są skalkulowane proporcjonalnie dla zadania objętego finansowaniem,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poniesione we właściwym terminie (termin wydatkowania dotacji oraz innych środków finansowych wynikający z zapisu w umowie),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poparte są właściwymi dowodami księgowymi (faktury, umowy oraz rachunki do umów) oraz zostały prawidłowo odzwierciedlone w ewidencji księgowej (oferent zobowiązany jest do prowadzenia wyodrębnionej dokumentacji finansowo-księgowej środków finansowych otrzymanych na realizację zadania zgodnie z ustawą o rachunkowości, w sposób umożliwiający identyfikację poszczególnych operacji księgowych).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kwalifikują się do dofinansowania  (stanowią koszty kwalifikowalne), pod warunkiem, że: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nie zawierają kosztów pokrywanych w ramach innych pozycji budżetowych,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nie są finansowane z innych źródeł.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Koszty kwalifikowane mogą zawierać koszty osobowe i bezosobowe (wynagrodzenia wraz </w:t>
        <w:br/>
        <w:t>z kosztami pracownika i pracodawcy).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Koszty administracyjne zadania (w tym np. kierowanie, koordynacja, wykonywanie zadań administracyjno-nadzorczo-kontrolnych) </w:t>
      </w:r>
      <w:r>
        <w:rPr>
          <w:rFonts w:cs="Calibri" w:cstheme="minorHAnsi"/>
          <w:b/>
          <w:bCs/>
          <w:sz w:val="24"/>
          <w:szCs w:val="24"/>
          <w:u w:val="single"/>
        </w:rPr>
        <w:t>nie mogą przekroczyć 10% wnioskowanej dotacji.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niekwalifikowalne</w:t>
      </w:r>
    </w:p>
    <w:p>
      <w:pPr>
        <w:pStyle w:val="Normal"/>
        <w:spacing w:lineRule="auto" w:line="276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Koszty, które nie zostaną uznane za kwalifikowalne: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budowa, zakup budynków lub lokali, zakup gruntów lub innych nieruchomości, 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podatki z wyłączeniem podatku dochodowego od osób fizycznych (PDOF) oraz podatków od towarów i usług (VAT), pod warunkiem, że podatek VAT nie może zostać odzyskany w oparciu </w:t>
        <w:br/>
        <w:t>o przepisy ustawy o podatku od towarów i usług,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pokrycie deficytu zrealizowanych wcześniej przedsięwzięć,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odsetki ustawowe i umowne,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nagrody pieniężne,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kary umowne.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Ocena formalna oferty uwzględnia następujące kryteria: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tbl>
      <w:tblPr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9"/>
        <w:gridCol w:w="6232"/>
        <w:gridCol w:w="1131"/>
        <w:gridCol w:w="1129"/>
      </w:tblGrid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jc w:val="center"/>
              <w:rPr>
                <w:rFonts w:ascii="Times New Roman" w:hAnsi="Times New Roman" w:cs="Calibri" w:cstheme="minorHAnsi"/>
                <w:b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color w:val="auto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OCENA FORMALNA</w:t>
            </w:r>
          </w:p>
          <w:p>
            <w:pPr>
              <w:pStyle w:val="Normal"/>
              <w:jc w:val="center"/>
              <w:rPr>
                <w:rFonts w:ascii="Times New Roman" w:hAnsi="Times New Roman"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Kryteria oceny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NIE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w terminie podanym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na obowiązującym formularzu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Czytelnie uzupełniono wszystkie wymagane pola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przez podmiot uprawniony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Cele statutowe podmiotu są zgodne ze sferą zadań publicznych, w ramach której będzie realizowane zadanie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podpisana przez osobę lub osoby uprawnione do reprezentacji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 oferty zostały załączone wymagane załączniki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Kopie dokumentów są poświadczone przez osobę lub osoby uprawnione.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Oferent zadeklarował wniesienie wkładu własnego finansowego na poziomie wymaganym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Zadanie jest zgodne z ogłoszeniem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Termin realizacji zadania publicznego mieści się w ramach określonych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Teksttreci1"/>
        <w:keepNext w:val="false"/>
        <w:keepLines w:val="false"/>
        <w:widowControl w:val="false"/>
        <w:numPr>
          <w:ilvl w:val="0"/>
          <w:numId w:val="0"/>
        </w:numPr>
        <w:shd w:val="clear" w:color="auto" w:fill="auto"/>
        <w:bidi w:val="0"/>
        <w:spacing w:before="0" w:after="0"/>
        <w:ind w:hanging="0" w:left="0" w:right="0"/>
        <w:jc w:val="left"/>
        <w:rPr/>
      </w:pPr>
      <w:r>
        <w:rPr>
          <w:rStyle w:val="Teksttreci"/>
          <w:rFonts w:ascii="Times New Roman" w:hAnsi="Times New Roman"/>
          <w:color w:val="000000"/>
          <w:sz w:val="24"/>
          <w:szCs w:val="24"/>
        </w:rPr>
        <w:t>UWAGA: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1"/>
        </w:numPr>
        <w:shd w:val="clear" w:color="auto" w:fill="auto"/>
        <w:tabs>
          <w:tab w:val="clear" w:pos="720"/>
          <w:tab w:val="left" w:pos="1180" w:leader="none"/>
        </w:tabs>
        <w:bidi w:val="0"/>
        <w:spacing w:before="0" w:after="0"/>
        <w:ind w:hanging="360" w:left="1180" w:right="0"/>
        <w:jc w:val="left"/>
        <w:rPr/>
      </w:pPr>
      <w:r>
        <w:rPr>
          <w:rStyle w:val="Teksttreci"/>
          <w:rFonts w:ascii="Times New Roman" w:hAnsi="Times New Roman"/>
          <w:color w:val="000000"/>
          <w:sz w:val="24"/>
          <w:szCs w:val="24"/>
        </w:rPr>
        <w:t>Nie przewiduje się możliwości uzupełnienia oferty, która została złożona w stanie niekompletnym.</w:t>
      </w:r>
    </w:p>
    <w:p>
      <w:pPr>
        <w:pStyle w:val="ListParagraph"/>
        <w:numPr>
          <w:ilvl w:val="0"/>
          <w:numId w:val="11"/>
        </w:numPr>
        <w:spacing w:lineRule="auto" w:line="276"/>
        <w:jc w:val="both"/>
        <w:rPr/>
      </w:pPr>
      <w:r>
        <w:rPr>
          <w:rStyle w:val="Teksttreci"/>
          <w:color w:val="000000"/>
          <w:sz w:val="24"/>
          <w:szCs w:val="24"/>
        </w:rPr>
        <w:t>W przypadku złożenia oferty wspólnej, błąd formalny występujący po stronie jednego z podmiotów powoduje, że oferta nie będzie podlegała dalszej ocenie.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Kryteria wyboru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Komisja konkursowa rozpatruje oferty oddzielnie dla każdego zadania.</w:t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Oferty niespełniające wymogów formalnych nie podlegają dalszej ocenie.</w:t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Ocena merytoryczna oferty uwzględnia następujące kryteria: 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66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7933"/>
        <w:gridCol w:w="1432"/>
      </w:tblGrid>
      <w:tr>
        <w:trPr/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OCENA MERYTORYCZNA</w:t>
            </w:r>
          </w:p>
        </w:tc>
      </w:tr>
      <w:tr>
        <w:trPr>
          <w:trHeight w:val="631" w:hRule="atLeast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Kryteria oceny merytorycznej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Liczba przyznanych punktów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I Zawartość merytoryczna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Staranność i szczegółowość opisu działań oraz rezultatów wynikających </w:t>
              <w:br/>
              <w:t>z realizacji zadania –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  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 xml:space="preserve">Ilość uczestników zadania 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Rzetelny i realny harmonogram działań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Kalkulacja kosztów w odniesieniu do zakresu rzeczowego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40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II Wkład rzeczowy i osobowy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Wkład rzeczowy (lokal, sprzęt, materiały)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Wkład osobowy, w tym świadczenia wolontariuszy i praca społeczna członków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0 - 5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15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III Potencjał realizacyjny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Dotychczasowe doświadczenie w realizacji zadań podobnego rodzaju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0 - 3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Zaangażowanie w realizację zadania osób o niezbędnych kwalifikacjach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0 - 3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Atrakcyjność i oryginalność oferty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0 - 4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10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IV Udział środków finansowych własnych</w:t>
            </w:r>
          </w:p>
          <w:tbl>
            <w:tblPr>
              <w:tblW w:w="5266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5266"/>
            </w:tblGrid>
            <w:tr>
              <w:trPr/>
              <w:tc>
                <w:tcPr>
                  <w:tcW w:w="5266" w:type="dxa"/>
                  <w:tcBorders/>
                </w:tcPr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65%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25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55%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22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45%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19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35%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16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25%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13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i równe 15%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10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  <w:shd w:fill="FFFFFF" w:val="clear"/>
                    </w:rPr>
                    <w:t>Finansowe środki własne poniżej 15% -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  <w:shd w:fill="FFFFFF" w:val="clear"/>
                    </w:rPr>
                    <w:t xml:space="preserve"> 0 pkt.</w:t>
                  </w:r>
                </w:p>
              </w:tc>
            </w:tr>
          </w:tbl>
          <w:p>
            <w:pPr>
              <w:pStyle w:val="Normal"/>
              <w:spacing w:lineRule="auto" w:line="276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Max.25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V Pobieranie/niepobieranie opłat od adresatów zadania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Pobieranie opłat, które przekraczają 5% kosztów całości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pkt.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Pobieranie opłat symbolicznych, które nie przekraczają 5% kosztów całości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3 pkt.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Niepobieranie opłat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5</w:t>
            </w:r>
          </w:p>
        </w:tc>
      </w:tr>
      <w:tr>
        <w:trPr>
          <w:trHeight w:val="1116" w:hRule="atLeast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VI Ocena realizacji zadań zleconych w latach poprzednich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Rzetelność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0 -5 pkt.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Terminowość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Sposób rozliczenia otrzymanych środków finansowych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Max.15</w:t>
            </w:r>
            <w:bookmarkStart w:id="6" w:name="_Hlk63842309"/>
            <w:bookmarkEnd w:id="6"/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Uzyskanie mniej niż 50% możliwych do uzyskania punktów nie kwalifikuje oferty do dalszego rozpatrzenia.</w:t>
      </w:r>
    </w:p>
    <w:p>
      <w:pPr>
        <w:pStyle w:val="ListParagraph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Informacja o wysokości kosztów związanych z realizacją zadań publicznych </w:t>
        <w:br/>
        <w:t>w 202</w:t>
      </w:r>
      <w:r>
        <w:rPr>
          <w:rFonts w:cs="Calibri" w:cstheme="minorHAnsi"/>
          <w:b/>
          <w:sz w:val="24"/>
          <w:szCs w:val="24"/>
        </w:rPr>
        <w:t>5</w:t>
      </w:r>
      <w:r>
        <w:rPr>
          <w:rFonts w:cs="Calibri" w:cstheme="minorHAnsi"/>
          <w:b/>
          <w:sz w:val="24"/>
          <w:szCs w:val="24"/>
        </w:rPr>
        <w:t xml:space="preserve"> r.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Dotacje przekazane przez Gminę Miejską Kamienna Góra na realizację zadań publicznych z obszaru  pomocy społecznej w roku 202</w:t>
      </w:r>
      <w:r>
        <w:rPr>
          <w:rFonts w:cs="Calibri" w:cstheme="minorHAnsi"/>
          <w:sz w:val="24"/>
          <w:szCs w:val="24"/>
        </w:rPr>
        <w:t>5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1.</w:t>
      </w:r>
      <w:r>
        <w:rPr>
          <w:rFonts w:cs="Calibri" w:cstheme="minorHAnsi"/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Kamiennogórskie Stowarzyszenie Inicjatyw Społecznych "POMAGAMY" na realizację zadania  publicznego: Dystrybucja żywności dla mieszkańców miasta Kamienna Góra. Przyznana kwota dotacji: 20 000 zł. 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Postanowienia końcowe</w:t>
      </w:r>
    </w:p>
    <w:p>
      <w:pPr>
        <w:pStyle w:val="ListParagraph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Szczegółowe i ostateczne warunki realizacji, finansowania i rozliczania zadania reguluje umowa pomiędzy Gminą Miejską Kamienna Góra a wnioskodawcą.</w:t>
      </w:r>
    </w:p>
    <w:p>
      <w:pPr>
        <w:pStyle w:val="ListParagraph"/>
        <w:numPr>
          <w:ilvl w:val="0"/>
          <w:numId w:val="1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Wyłoniony oferent jest zobowiązany zamieszczać we wszystkich drukach związanych z realizacją zadania (plakatach, zaproszeniach, regulaminach, komunikatach, itp.), a także w ogłoszeniach prasowych, reklamach, wykazach sponsorów, itp., informacji o tym, że zadanie jest dotowane przez Gminę Miejską Kamienna Góra. Informacje takie winny być również podawane do publicznej wiadomości w trakcie realizacji zadania. </w:t>
      </w:r>
      <w:r>
        <w:rPr>
          <w:rFonts w:cs="Calibri" w:cstheme="minorHAnsi"/>
          <w:b/>
          <w:bCs/>
          <w:sz w:val="24"/>
          <w:szCs w:val="24"/>
        </w:rPr>
        <w:t>Dodatkowo oferent zobowiązany jest do zapraszania przedstawicieli władz miasta na wszystkie ważniejsze wydarzenia (turnieje, uroczystości, zawody sportowe itp.) organizowane w ramach zadania publicznego, na które została przyznana dotacja.</w:t>
      </w:r>
    </w:p>
    <w:p>
      <w:pPr>
        <w:pStyle w:val="ListParagraph"/>
        <w:numPr>
          <w:ilvl w:val="0"/>
          <w:numId w:val="13"/>
        </w:numPr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rezygnacji podmiotu lub odmowy podpisania umowy, zarezerwowane środki finansowe mogą być przeznaczone na ogłoszenie nowego konkursu lub na realizację zadania w innej formie.</w:t>
      </w:r>
    </w:p>
    <w:p>
      <w:pPr>
        <w:pStyle w:val="ListParagraph"/>
        <w:numPr>
          <w:ilvl w:val="0"/>
          <w:numId w:val="13"/>
        </w:numPr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Podstawą roszczeń finansowych w stosunku do Gminy Miejskiej Kamienna Góra może być wyłącznie zawarta umowa.</w:t>
      </w:r>
    </w:p>
    <w:p>
      <w:pPr>
        <w:pStyle w:val="ListParagraph"/>
        <w:numPr>
          <w:ilvl w:val="0"/>
          <w:numId w:val="1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Szczegółowe informacje udzielane są przez: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600"/>
        <w:ind w:hanging="0" w:left="380" w:right="0"/>
        <w:jc w:val="both"/>
        <w:rPr/>
      </w:pPr>
      <w:r>
        <w:rPr>
          <w:rStyle w:val="Teksttreci"/>
          <w:rFonts w:ascii="Times New Roman" w:hAnsi="Times New Roman"/>
          <w:b/>
          <w:bCs/>
          <w:color w:val="000000"/>
          <w:sz w:val="24"/>
          <w:szCs w:val="24"/>
        </w:rPr>
        <w:t>Wydział Zarządzania Kryzysowego i Polityki Społecznej Urzędu Miasta Kamienna Góra, plac Grunwaldzki 1, pok. 304,  tel. 75 645 51 36 lub 75 645 51 26.</w:t>
      </w:r>
    </w:p>
    <w:p>
      <w:pPr>
        <w:pStyle w:val="ListParagraph"/>
        <w:spacing w:lineRule="auto" w:line="276"/>
        <w:ind w:left="36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276"/>
        <w:ind w:left="36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276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Zastępca Burmistrz Miasta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6580" w:right="0"/>
        <w:jc w:val="both"/>
        <w:rPr/>
      </w:pPr>
      <w:r>
        <w:rPr/>
        <w:t xml:space="preserve">               </w:t>
      </w:r>
      <w:r>
        <w:rPr/>
        <w:t>Kamienna Góra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6580" w:right="0"/>
        <w:jc w:val="both"/>
        <w:rPr/>
      </w:pPr>
      <w:r>
        <w:rPr/>
        <w:t xml:space="preserve">               </w:t>
      </w:r>
      <w:r>
        <w:rPr/>
        <w:t>/-/ Paweł Fryc</w:t>
      </w:r>
    </w:p>
    <w:p>
      <w:pPr>
        <w:pStyle w:val="ListParagraph"/>
        <w:spacing w:lineRule="auto" w:line="276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418" w:right="1416" w:gutter="0" w:header="0" w:top="720" w:footer="709" w:bottom="76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8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8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4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5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6c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hanging="283" w:left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user">
    <w:name w:val="Znaki przypisów dolnych (user)"/>
    <w:qFormat/>
    <w:rsid w:val="00805bce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Znakiprzypiswkocowychuser">
    <w:name w:val="Znaki przypisów końcowych (user)"/>
    <w:qFormat/>
    <w:rsid w:val="00720d5f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BalloonText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CommentText"/>
    <w:qFormat/>
    <w:rsid w:val="00b46598"/>
    <w:rPr>
      <w:color w:val="000000"/>
    </w:rPr>
  </w:style>
  <w:style w:type="character" w:styleId="TematkomentarzaZnak" w:customStyle="1">
    <w:name w:val="Temat komentarza Znak"/>
    <w:link w:val="annotationsubject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41c1f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74bb8"/>
    <w:rPr>
      <w:b/>
      <w:bCs/>
    </w:rPr>
  </w:style>
  <w:style w:type="character" w:styleId="Teksttreci">
    <w:name w:val="Tekst treści_"/>
    <w:basedOn w:val="DefaultParagraphFon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1">
    <w:name w:val="Nagłówek #1_"/>
    <w:basedOn w:val="DefaultParagraphFont"/>
    <w:qFormat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">
    <w:name w:val="List"/>
    <w:basedOn w:val="Normal"/>
    <w:rsid w:val="001e0ab6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FootnoteText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EndnoteText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2">
    <w:name w:val="List 2"/>
    <w:basedOn w:val="Normal"/>
    <w:qFormat/>
    <w:rsid w:val="001e0ab6"/>
    <w:pPr>
      <w:spacing w:before="0" w:after="0"/>
      <w:ind w:hanging="283" w:left="566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TekstkomentarzaZnak"/>
    <w:rsid w:val="00b4659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/>
      <w:contextualSpacing/>
    </w:pPr>
    <w:rPr/>
  </w:style>
  <w:style w:type="paragraph" w:styleId="Akapitzlist1" w:customStyle="1">
    <w:name w:val="Akapit z listą1"/>
    <w:basedOn w:val="Normal"/>
    <w:qFormat/>
    <w:rsid w:val="00915d89"/>
    <w:pPr>
      <w:spacing w:lineRule="auto" w:line="276" w:before="0" w:after="200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074bb8"/>
    <w:pPr>
      <w:spacing w:beforeAutospacing="1" w:afterAutospacing="1"/>
    </w:pPr>
    <w:rPr>
      <w:color w:val="auto"/>
    </w:rPr>
  </w:style>
  <w:style w:type="paragraph" w:styleId="Default" w:customStyle="1">
    <w:name w:val="Default"/>
    <w:qFormat/>
    <w:rsid w:val="00317e3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Teksttreci1">
    <w:name w:val="Tekst treści"/>
    <w:basedOn w:val="Normal"/>
    <w:qFormat/>
    <w:pPr>
      <w:widowControl w:val="false"/>
      <w:shd w:val="clear" w:color="auto" w:fill="auto"/>
      <w:spacing w:lineRule="auto" w:line="276" w:before="0" w:after="28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11">
    <w:name w:val="Nagłówek #1"/>
    <w:basedOn w:val="Normal"/>
    <w:qFormat/>
    <w:pPr>
      <w:widowControl w:val="false"/>
      <w:shd w:val="clear" w:color="auto" w:fill="auto"/>
      <w:spacing w:lineRule="auto" w:line="271" w:before="0" w:after="280"/>
      <w:ind w:firstLine="380" w:left="0" w:right="0"/>
      <w:outlineLvl w:val="0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ap.sejm.gov.pl/isap.nsf/DocDetails.xsp?id=WDU20250001153" TargetMode="External"/><Relationship Id="rId3" Type="http://schemas.openxmlformats.org/officeDocument/2006/relationships/hyperlink" Target="https://isap.sejm.gov.pl/isap.nsf/DocDetails.xsp?id=WDU20250001338" TargetMode="External"/><Relationship Id="rId4" Type="http://schemas.openxmlformats.org/officeDocument/2006/relationships/hyperlink" Target="https://isap.sejm.gov.pl/isap.nsf/DocDetails.xsp?id=WDU20250001153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6775-5572-4715-BDBD-DD0F6A99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Application>LibreOffice/25.2.7.2$Windows_X86_64 LibreOffice_project/5cbfd1ab6520636bb5f7b99185aa69bd7456825d</Application>
  <AppVersion>15.0000</AppVersion>
  <Pages>8</Pages>
  <Words>2139</Words>
  <Characters>13227</Characters>
  <CharactersWithSpaces>15204</CharactersWithSpaces>
  <Paragraphs>160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2024-05-22T13:07:00Z</dcterms:created>
  <dc:creator>Burmistrz Miasta Kamienna Gora</dc:creator>
  <dc:description/>
  <dc:language>pl-PL</dc:language>
  <cp:lastModifiedBy/>
  <cp:lastPrinted>2026-01-26T09:07:13Z</cp:lastPrinted>
  <dcterms:modified xsi:type="dcterms:W3CDTF">2026-01-26T09:56:46Z</dcterms:modified>
  <cp:revision>33</cp:revision>
  <dc:subject>Zarządzenie Nr 132/2024 z dnia 22 maja 2024 r. Burmistrza Miasta Kamienna Góra w sprawie ogłoszenia wyników III otwartego konkursu ofert na wspieranie wykonywania zadań publicznych w obszarze pomoc społeczna wraz z udzieleniem dotacji na dofinansowanie ich realizacji w 2024 roku</dc:subject>
  <dc:title>Zarządzenie Nr 132/2024 Burmistrza Miasta Kamienna Góra z dnia 22 maja 2024 r. w sprawie ogłoszenia wyników III otwartego konkursu ofert na wspieranie wykonywania zadań publicznych w obszarze pomoc społeczna wraz z udzieleniem dotacji na dofinansowanie ich realizacji w 2024 roku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