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1153 z późn. zm.</w:t>
        </w:r>
      </w:hyperlink>
      <w:r>
        <w:rPr>
          <w:rStyle w:val="Teksttreci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2"/>
            <w:szCs w:val="22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 w:ascii="Times New Roman" w:hAnsi="Times New Roman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Style w:val="Teksttreci"/>
          <w:b/>
          <w:bCs/>
        </w:rPr>
        <w:t>Burmistrz Miasta Kamienna Góra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Style w:val="Teksttreci"/>
          <w:b/>
          <w:bCs/>
        </w:rPr>
        <w:t>ogłasza otwarty konkurs ofert na wspieranie wykonywania zadań publicznych</w:t>
        <w:br/>
        <w:t xml:space="preserve">w obszarze </w:t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b/>
          <w:bCs/>
          <w:u w:val="single"/>
        </w:rPr>
        <w:t>UPOWSZECHNIANIE KULTURY FIZYCZNEJ I SPORTU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80"/>
        <w:ind w:hanging="0" w:left="0" w:right="0"/>
        <w:jc w:val="center"/>
        <w:rPr>
          <w:b/>
          <w:bCs/>
        </w:rPr>
      </w:pPr>
      <w:r>
        <w:rPr>
          <w:rStyle w:val="Teksttreci"/>
          <w:b/>
          <w:bCs/>
        </w:rPr>
        <w:t>wraz z udzieleniem dotacji na dofinansowanie ich realizacji w 2026 roku</w:t>
      </w:r>
    </w:p>
    <w:p>
      <w:pPr>
        <w:pStyle w:val="Nagwek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89" w:leader="none"/>
        </w:tabs>
        <w:bidi w:val="0"/>
        <w:spacing w:before="0" w:after="280"/>
        <w:ind w:firstLine="380" w:left="0" w:right="0"/>
        <w:jc w:val="both"/>
        <w:rPr>
          <w:b/>
          <w:bCs/>
          <w:color w:val="000000"/>
        </w:rPr>
      </w:pPr>
      <w:bookmarkStart w:id="5" w:name="bookmark0"/>
      <w:r>
        <w:rPr>
          <w:rStyle w:val="Nagwek1"/>
          <w:b/>
          <w:bCs/>
          <w:color w:val="000000"/>
        </w:rPr>
        <w:t>Cele i rodzaj zadania.</w:t>
      </w:r>
      <w:bookmarkEnd w:id="5"/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7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Cele: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1443" w:leader="none"/>
        </w:tabs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wspieranie i upowszechnianie kultury fizycznej wśród mieszkańców Kamiennej Góry,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1443" w:leader="none"/>
        </w:tabs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propagowanie zdrowego oraz aktywnego stylu życia wśród mieszkańców Kamiennej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Góry.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7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Rodzaj zadania: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1443" w:leader="none"/>
        </w:tabs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szkolenie oraz udział w zawodach sportowych mieszkańców Gminy Miejskiej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Kamienna Góra;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1443" w:leader="none"/>
        </w:tabs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upowszechnianie i promocja kultury fizycznej w różnych dyscyplinach sportowych;</w:t>
      </w:r>
    </w:p>
    <w:p>
      <w:pPr>
        <w:pStyle w:val="Teksttreci1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1443" w:leader="none"/>
        </w:tabs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organizacja imprez sportowych o zasięgu krajowym i lokalnym;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1443" w:leader="none"/>
        </w:tabs>
        <w:bidi w:val="0"/>
        <w:spacing w:lineRule="auto" w:line="271" w:before="0" w:after="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popularyzacja walorów rekreacji ruchowej w tym rehabilitacja ruchowa dla młodzieży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580"/>
        <w:ind w:firstLine="740" w:left="0" w:right="0"/>
        <w:jc w:val="both"/>
        <w:rPr>
          <w:color w:val="000000"/>
        </w:rPr>
      </w:pPr>
      <w:r>
        <w:rPr>
          <w:rStyle w:val="Teksttreci"/>
          <w:color w:val="000000"/>
        </w:rPr>
        <w:t>szkolnej, osób niepełnosprawnych oraz seniorów.</w:t>
      </w:r>
    </w:p>
    <w:p>
      <w:pPr>
        <w:pStyle w:val="Nagwek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89" w:leader="none"/>
        </w:tabs>
        <w:bidi w:val="0"/>
        <w:spacing w:before="0" w:after="280"/>
        <w:ind w:firstLine="380" w:left="0" w:right="0"/>
        <w:jc w:val="both"/>
        <w:rPr>
          <w:b/>
          <w:bCs/>
          <w:color w:val="000000"/>
        </w:rPr>
      </w:pPr>
      <w:bookmarkStart w:id="6" w:name="bookmark2"/>
      <w:r>
        <w:rPr>
          <w:rStyle w:val="Nagwek1"/>
          <w:b/>
          <w:bCs/>
          <w:color w:val="000000"/>
        </w:rPr>
        <w:t>Wysokość środków publicznych przeznaczonych na realizację tego zadania</w:t>
      </w:r>
      <w:bookmarkEnd w:id="6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hanging="0" w:left="0" w:right="0"/>
        <w:jc w:val="left"/>
        <w:rPr/>
      </w:pPr>
      <w:r>
        <w:rPr>
          <w:rStyle w:val="Teksttreci"/>
          <w:color w:val="000000"/>
        </w:rPr>
        <w:t xml:space="preserve">Wysokość środków publicznych przekazanych na realizację zadania wyniesie: </w:t>
      </w:r>
      <w:r>
        <w:rPr>
          <w:rStyle w:val="Teksttreci"/>
          <w:b/>
          <w:bCs/>
          <w:color w:val="000000"/>
          <w:u w:val="single"/>
        </w:rPr>
        <w:t>300.000,00 zł.</w:t>
      </w:r>
    </w:p>
    <w:p>
      <w:pPr>
        <w:pStyle w:val="Nagwek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89" w:leader="none"/>
        </w:tabs>
        <w:bidi w:val="0"/>
        <w:spacing w:before="0" w:after="280"/>
        <w:ind w:firstLine="380" w:left="0" w:right="0"/>
        <w:jc w:val="both"/>
        <w:rPr>
          <w:b/>
          <w:bCs/>
          <w:color w:val="000000"/>
        </w:rPr>
      </w:pPr>
      <w:bookmarkStart w:id="7" w:name="bookmark4"/>
      <w:r>
        <w:rPr>
          <w:rStyle w:val="Nagwek1"/>
          <w:b/>
          <w:bCs/>
          <w:color w:val="000000"/>
        </w:rPr>
        <w:t>Zasady przyznawania dotacji:</w:t>
      </w:r>
      <w:bookmarkEnd w:id="7"/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7" w:leader="none"/>
        </w:tabs>
        <w:bidi w:val="0"/>
        <w:spacing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8" w:name="59a62ef4-b6b0-49d0-b201-e625523a52d5_kop"/>
        <w:bookmarkEnd w:id="8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2"/>
            <w:szCs w:val="22"/>
            <w:u w:val="none"/>
          </w:rPr>
          <w:t>1338</w:t>
        </w:r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zm.) udzielenie dofinansowania na realizację zadania publicznego oznacza, że oferent w ofercie realizacji zadania publicznego wykazuje wkład finansowy własny.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7" w:leader="none"/>
        </w:tabs>
        <w:bidi w:val="0"/>
        <w:spacing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Złożenie oferty nie jest równoznaczne z przyznaniem dotacji lub przyznaniem dotacji w oczekiwanej wysokości.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7" w:leader="none"/>
        </w:tabs>
        <w:bidi w:val="0"/>
        <w:spacing w:lineRule="auto" w:line="271"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                  w dniu ogłoszenia konkursu.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7" w:leader="none"/>
        </w:tabs>
        <w:bidi w:val="0"/>
        <w:spacing w:lineRule="auto" w:line="271"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Ogólna kwota dotacji przeznaczona na realizację zadania może być podzielona między wnioskodawców.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zmniejszenia wysokości wnioskowanej dotacji wnioskodawca może zmniejszyć zakres rzeczowy zadania i kosztorys lub wycofać ofertę.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ramach udzielonej dotacji będą finansowane wyłącznie koszty bezpośrednio związane z realizacją zadania.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Możliwe jest przekazanie dotacji w transzach – zależy to od specyfiki i harmonogramu realizacji projektu.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0" w:left="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W konkursie nie przewiduje się wyceny wkładu rzeczowego wnoszonego do projektów.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70" w:leader="none"/>
        </w:tabs>
        <w:bidi w:val="0"/>
        <w:spacing w:before="0" w:after="280"/>
        <w:ind w:firstLine="360" w:left="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Termin i warunki realizacji zadań</w:t>
      </w:r>
    </w:p>
    <w:p>
      <w:pPr>
        <w:pStyle w:val="Nagwek11"/>
        <w:keepNext w:val="true"/>
        <w:keepLines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bookmarkStart w:id="9" w:name="bookmark6"/>
      <w:r>
        <w:rPr>
          <w:rStyle w:val="Nagwek1"/>
          <w:b w:val="false"/>
          <w:bCs w:val="false"/>
          <w:color w:val="000000"/>
        </w:rPr>
        <w:t xml:space="preserve">Zadania muszą być wykonane w roku 2026. </w:t>
      </w:r>
      <w:r>
        <w:rPr>
          <w:rStyle w:val="Nagwek1"/>
          <w:b/>
          <w:bCs/>
          <w:color w:val="000000"/>
        </w:rPr>
        <w:t>Początek realizacji zadania powinien nastąpić nie wcześniej niż</w:t>
      </w:r>
      <w:r>
        <w:rPr>
          <w:rStyle w:val="Nagwek1"/>
          <w:b/>
          <w:bCs/>
          <w:color w:val="FF0000"/>
        </w:rPr>
        <w:t xml:space="preserve"> </w:t>
      </w:r>
      <w:r>
        <w:rPr>
          <w:rStyle w:val="Nagwek1"/>
          <w:b/>
          <w:bCs/>
          <w:color w:val="000000"/>
        </w:rPr>
        <w:t>26 stycznia 2026 r., a zakończenie nie później niż 31 grudnia 2026 r.</w:t>
      </w:r>
      <w:bookmarkEnd w:id="9"/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 xml:space="preserve">Beneficjent musi zapewnić wkład własny finansowy </w:t>
      </w:r>
      <w:r>
        <w:rPr>
          <w:rStyle w:val="Teksttreci"/>
          <w:b/>
          <w:bCs/>
          <w:color w:val="000000"/>
          <w:u w:val="single"/>
        </w:rPr>
        <w:t>w wysokości 15%</w:t>
      </w:r>
      <w:r>
        <w:rPr>
          <w:rStyle w:val="Teksttreci"/>
          <w:b/>
          <w:bCs/>
          <w:color w:val="000000"/>
        </w:rPr>
        <w:t xml:space="preserve"> </w:t>
      </w:r>
      <w:r>
        <w:rPr>
          <w:rStyle w:val="Teksttreci"/>
          <w:color w:val="000000"/>
        </w:rPr>
        <w:t>sumy wszystkich kosztów realizacji zadania.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Oferent może wydatkować przyznane mu w ramach dotacji środki od dnia podpisania umowy. Środki na realizację zadania wydatkowane pomiędzy 26 stycznia 2026 r., a datą podpisania umowy, stanowią wkład własny organizacji.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 xml:space="preserve">Dopuszcza się w trakcie realizacji zadania możliwość dokonywania przesunięć w zakresie poszczególnych pozycji kosztów działania oraz </w:t>
      </w:r>
      <w:r>
        <w:rPr>
          <w:rStyle w:val="Teksttreci"/>
          <w:color w:val="000000"/>
          <w:u w:val="single"/>
        </w:rPr>
        <w:t>pomiędzy działaniami o 20%.</w:t>
      </w:r>
      <w:r>
        <w:rPr>
          <w:rStyle w:val="Teksttreci"/>
          <w:color w:val="000000"/>
        </w:rPr>
        <w:t xml:space="preserve"> Zmniejszenie nie jest limitowane. Zmiany do wyżej określonego poziomu nie wymagają aneksu do umowy.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Zadanie powinno być realizowane z najwyższą starannością, zgodnie z zawartą umową oraz obowiązującymi standardami, w zakresie opisanym w ofercie.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Zadania powinno być realizowane w taki sposób, by swoimi działaniami obejmowało jak największą liczbę beneficjentów.</w:t>
      </w:r>
    </w:p>
    <w:p>
      <w:pPr>
        <w:pStyle w:val="Nagwek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70" w:leader="none"/>
        </w:tabs>
        <w:bidi w:val="0"/>
        <w:spacing w:lineRule="auto" w:line="276" w:before="0" w:after="280"/>
        <w:ind w:firstLine="360" w:left="0" w:right="0"/>
        <w:jc w:val="both"/>
        <w:rPr>
          <w:b/>
          <w:bCs/>
          <w:color w:val="000000"/>
        </w:rPr>
      </w:pPr>
      <w:bookmarkStart w:id="10" w:name="bookmark8"/>
      <w:r>
        <w:rPr>
          <w:rStyle w:val="Nagwek1"/>
          <w:b/>
          <w:bCs/>
          <w:color w:val="000000"/>
        </w:rPr>
        <w:t>Termin i warunki składania ofert</w:t>
      </w:r>
      <w:bookmarkEnd w:id="10"/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>Oferty dotyczące wspierania realizacji zadań publicznych w zakresie zadania objętego niniejszym konkursem należy złożyć w terminie do dnia</w:t>
      </w:r>
      <w:r>
        <w:rPr>
          <w:rStyle w:val="Teksttreci"/>
          <w:color w:val="C9211E"/>
        </w:rPr>
        <w:t xml:space="preserve"> </w:t>
      </w:r>
      <w:r>
        <w:rPr>
          <w:rStyle w:val="Teksttreci"/>
          <w:b/>
          <w:bCs/>
          <w:color w:val="000000"/>
        </w:rPr>
        <w:t>24 lutego 2026 r.</w:t>
      </w:r>
      <w:r>
        <w:rPr>
          <w:rStyle w:val="Teksttreci"/>
          <w:b/>
          <w:bCs/>
          <w:color w:val="C9211E"/>
        </w:rPr>
        <w:t xml:space="preserve"> </w:t>
      </w:r>
      <w:r>
        <w:rPr>
          <w:rStyle w:val="Teksttreci"/>
          <w:b/>
          <w:bCs/>
          <w:color w:val="000000"/>
        </w:rPr>
        <w:t xml:space="preserve">do godziny 15.30 w siedzibie Urzędu Miasta Kamienna Góra przy placu Grunwaldzkim 1 w Biurze Obsługi Klienta lub przesłać </w:t>
      </w:r>
      <w:r>
        <w:rPr>
          <w:rStyle w:val="Teksttreci"/>
          <w:color w:val="000000"/>
        </w:rPr>
        <w:t xml:space="preserve">drogą pocztową na adres Urzędu Miasta w Kamiennej Górze, plac Grunwaldzki 1, 58-400 Kamienna Góra </w:t>
      </w:r>
      <w:r>
        <w:rPr>
          <w:rStyle w:val="Teksttreci"/>
          <w:b/>
          <w:bCs/>
          <w:color w:val="000000"/>
        </w:rPr>
        <w:t xml:space="preserve">(liczy się data wpływu do urzędu, a nie stempla pocztowego). </w:t>
      </w:r>
      <w:r>
        <w:rPr>
          <w:rStyle w:val="Teksttreci"/>
          <w:color w:val="000000"/>
        </w:rPr>
        <w:t>Oferty przesyłane drogą elektroniczną nie będą przyjmowane.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 xml:space="preserve">Oferty powinny być złożone w zamkniętych kopertach z napisem: </w:t>
      </w:r>
      <w:r>
        <w:rPr>
          <w:rStyle w:val="Teksttreci"/>
          <w:b/>
          <w:bCs/>
          <w:color w:val="000000"/>
        </w:rPr>
        <w:t xml:space="preserve">„Konkurs ofert 2026” wraz z oznaczonym rodzajem zadania zgodnie z ogłoszeniem konkursowym. </w:t>
      </w:r>
      <w:r>
        <w:rPr>
          <w:rStyle w:val="Teksttreci"/>
          <w:color w:val="000000"/>
        </w:rPr>
        <w:t>W przypadku składania więcej niż jednej oferty, dopuszcza się załączenie jednego kompletu załączników ze wskazaniem na pierwszej stronie (dopisek) przy której ofercie się znajdują.</w:t>
      </w:r>
    </w:p>
    <w:p>
      <w:pPr>
        <w:pStyle w:val="Teksttreci1"/>
        <w:widowControl w:val="false"/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rStyle w:val="Teksttreci"/>
          <w:color w:val="000000"/>
        </w:rPr>
      </w:pPr>
      <w:r>
        <w:rPr>
          <w:color w:val="000000"/>
        </w:rPr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Oferty muszą być sporządzone zgodnie ze wzorem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Do oferty konkursowej obligatoryjnie należy dołączyć: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kopię aktualnego statutu,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kopię wyciągu z innego rejestru niż KRS, ewidencji lub innego dokumentu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wyznania, jeżeli ich cele statutowe obejmują prowadzenie działalności pożytku publicznego, dekret powołujący na proboszcza lub inna funkcję, upoważniający do składania oświadczeń i zaciągania zobowiązań,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Terenowe oddziały organizacji (nieposiadające osobowości prawnej) mogą złożyć ofertę wyłącznie za zgodą zarządu głównego organizacji.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Teksttreci"/>
          <w:b/>
          <w:bCs/>
          <w:color w:val="000000"/>
        </w:rPr>
        <w:t xml:space="preserve">W przypadku złożenia kserokopii dokumentów wymienionych w ust. 4 muszą być one potwierdzone na każdej stronie kopii, za zgodność z oryginałem </w:t>
      </w:r>
      <w:r>
        <w:rPr>
          <w:rStyle w:val="Teksttreci"/>
          <w:color w:val="000000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agwek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173" w:leader="none"/>
        </w:tabs>
        <w:bidi w:val="0"/>
        <w:spacing w:before="0" w:after="280"/>
        <w:ind w:firstLine="460" w:left="0" w:right="0"/>
        <w:jc w:val="left"/>
        <w:rPr>
          <w:b/>
          <w:bCs/>
          <w:color w:val="000000"/>
        </w:rPr>
      </w:pPr>
      <w:bookmarkStart w:id="11" w:name="bookmark10"/>
      <w:r>
        <w:rPr>
          <w:rStyle w:val="Nagwek1"/>
          <w:b/>
          <w:bCs/>
          <w:color w:val="000000"/>
        </w:rPr>
        <w:t>Termin i tryb wyboru ofert</w:t>
      </w:r>
      <w:bookmarkEnd w:id="11"/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55" w:leader="none"/>
        </w:tabs>
        <w:bidi w:val="0"/>
        <w:spacing w:before="0" w:after="280"/>
        <w:ind w:hanging="460" w:left="460" w:right="0"/>
        <w:jc w:val="left"/>
        <w:rPr/>
      </w:pPr>
      <w:r>
        <w:rPr>
          <w:rStyle w:val="Teksttreci"/>
          <w:color w:val="000000"/>
        </w:rPr>
        <w:t xml:space="preserve">Ostateczne rozstrzygnięcie konkursu nastąpi w terminie </w:t>
      </w:r>
      <w:r>
        <w:rPr>
          <w:rStyle w:val="Teksttreci"/>
          <w:b/>
          <w:bCs/>
          <w:color w:val="000000"/>
          <w:u w:val="single"/>
        </w:rPr>
        <w:t>nie później niż 30 dni</w:t>
      </w:r>
      <w:r>
        <w:rPr>
          <w:rStyle w:val="Teksttreci"/>
          <w:b/>
          <w:bCs/>
          <w:color w:val="000000"/>
        </w:rPr>
        <w:t xml:space="preserve"> </w:t>
      </w:r>
      <w:r>
        <w:rPr>
          <w:rStyle w:val="Teksttreci"/>
          <w:color w:val="000000"/>
        </w:rPr>
        <w:t>od dnia upływu terminu składania ofert. Możliwe jest dokonywanie rozstrzygnięć w kilku etapach.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55" w:leader="none"/>
        </w:tabs>
        <w:bidi w:val="0"/>
        <w:spacing w:before="0" w:after="280"/>
        <w:ind w:hanging="460" w:left="460" w:right="0"/>
        <w:jc w:val="left"/>
        <w:rPr>
          <w:color w:val="000000"/>
        </w:rPr>
      </w:pPr>
      <w:r>
        <w:rPr>
          <w:rStyle w:val="Teksttreci"/>
          <w:color w:val="000000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Decyzję o udzieleniu dotacji podejmuje Burmistrz Miasta Kamienna Góra w formie zarządzenia.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460" w:left="460" w:right="0"/>
        <w:jc w:val="left"/>
        <w:rPr>
          <w:color w:val="000000"/>
        </w:rPr>
      </w:pPr>
      <w:r>
        <w:rPr>
          <w:rStyle w:val="Teksttreci"/>
          <w:color w:val="000000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agwek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173" w:leader="none"/>
        </w:tabs>
        <w:bidi w:val="0"/>
        <w:spacing w:before="0" w:after="280"/>
        <w:ind w:firstLine="460" w:left="0" w:right="0"/>
        <w:jc w:val="left"/>
        <w:rPr>
          <w:b/>
          <w:bCs/>
          <w:color w:val="000000"/>
        </w:rPr>
      </w:pPr>
      <w:bookmarkStart w:id="12" w:name="bookmark12"/>
      <w:r>
        <w:rPr>
          <w:rStyle w:val="Nagwek1"/>
          <w:b/>
          <w:bCs/>
          <w:color w:val="000000"/>
        </w:rPr>
        <w:t>Ogólne zasady kwalifikowalności kosztów</w:t>
      </w:r>
      <w:bookmarkEnd w:id="12"/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Koszty zostaną uznane za kwalifikowalne, gdy: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związane są z realizowanym zadaniem i są niezbędne do jego realizacji,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zostały uwzględnione w kosztorysie zadania,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zostały skalkulowane racjonalnie na podstawie cen rynkowych,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71" w:before="0" w:after="0"/>
        <w:ind w:hanging="460" w:left="460" w:right="0"/>
        <w:jc w:val="both"/>
        <w:rPr>
          <w:color w:val="000000"/>
        </w:rPr>
      </w:pPr>
      <w:r>
        <w:rPr>
          <w:rStyle w:val="Teksttreci"/>
          <w:color w:val="000000"/>
        </w:rPr>
        <w:t>odzwierciedlają koszty rzeczywiste, są skalkulowane proporcjonalnie dla zadania objętego finansowaniem,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460" w:left="460" w:right="0"/>
        <w:jc w:val="both"/>
        <w:rPr>
          <w:color w:val="000000"/>
        </w:rPr>
      </w:pPr>
      <w:r>
        <w:rPr>
          <w:rStyle w:val="Teksttreci"/>
          <w:color w:val="000000"/>
        </w:rPr>
        <w:t>zostały poniesione we właściwym terminie (termin wydatkowania dotacji oraz innych środków finansowych wynikający z zapisu w umowie),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355" w:leader="none"/>
          <w:tab w:val="left" w:pos="4795" w:leader="none"/>
          <w:tab w:val="left" w:pos="6902" w:leader="none"/>
        </w:tabs>
        <w:bidi w:val="0"/>
        <w:spacing w:lineRule="auto" w:line="271" w:before="0" w:after="0"/>
        <w:ind w:hanging="460" w:left="460" w:right="0"/>
        <w:jc w:val="both"/>
        <w:rPr>
          <w:color w:val="000000"/>
        </w:rPr>
      </w:pPr>
      <w:r>
        <w:rPr>
          <w:rStyle w:val="Teksttreci"/>
          <w:color w:val="000000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hanging="0" w:left="460" w:right="0"/>
        <w:jc w:val="both"/>
        <w:rPr>
          <w:color w:val="000000"/>
        </w:rPr>
      </w:pPr>
      <w:r>
        <w:rPr>
          <w:rStyle w:val="Teksttreci"/>
          <w:color w:val="000000"/>
        </w:rPr>
        <w:t>otrzymanych na realizację zadania zgodnie z ustawą o rachunkowości, w sposób umożliwiający identyfikację poszczególnych operacji księgowych).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kwalifikują się do dofinansowania (stanowią koszty kwalifikowalne), pod warunkiem, że: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nie zawierają kosztów pokrywanych w ramach innych pozycji budżetowych,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nie są finansowane z innych źródeł.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kwalifikowane mogą zawierać koszty osobowe i bezosobowe (wynagrodzenia wraz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firstLine="460" w:left="0" w:right="0"/>
        <w:jc w:val="left"/>
        <w:rPr>
          <w:color w:val="000000"/>
        </w:rPr>
      </w:pPr>
      <w:r>
        <w:rPr>
          <w:rStyle w:val="Teksttreci"/>
          <w:color w:val="000000"/>
        </w:rPr>
        <w:t>z kosztami pracownika i pracodawcy).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administracyjne zadania (w tym np. kierowanie, koordynacja, wykonywanie zadań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firstLine="460" w:left="0" w:right="0"/>
        <w:jc w:val="left"/>
        <w:rPr/>
      </w:pPr>
      <w:r>
        <w:rPr>
          <w:rStyle w:val="Teksttreci"/>
          <w:color w:val="000000"/>
        </w:rPr>
        <w:t xml:space="preserve">administracyjno-nadzorczo-kontrolnych) </w:t>
      </w:r>
      <w:r>
        <w:rPr>
          <w:rStyle w:val="Teksttreci"/>
          <w:b/>
          <w:bCs/>
          <w:color w:val="000000"/>
          <w:u w:val="single"/>
        </w:rPr>
        <w:t>nie mogą przekroczyć 10% wnioskowanej dotacji.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niekwalifikowalne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0"/>
        <w:ind w:firstLine="46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Koszty, które nie zostaną uznane za kwalifikowalne: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budowa, zakup budynków lub lokali, zakup gruntów lub innych nieruchomości,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460" w:left="460" w:right="0"/>
        <w:jc w:val="left"/>
        <w:rPr>
          <w:color w:val="000000"/>
        </w:rPr>
      </w:pPr>
      <w:r>
        <w:rPr>
          <w:rStyle w:val="Teksttreci"/>
          <w:color w:val="000000"/>
        </w:rPr>
        <w:t>podatki z wyłączeniem podatku dochodowego od osób fizycznych (PDOF) oraz podatków od towarów i usług (VAT), pod warunkiem, że podatek VAT nie może zostać odzyskany w oparciu o przepisy ustawy o podatku od towarów i usług,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pokrycie deficytu zrealizowanych wcześniej przedsięwzięć,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odsetki ustawowe i umowne,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nagrody pieniężne,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30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kary umowne.</w:t>
      </w:r>
    </w:p>
    <w:p>
      <w:pPr>
        <w:pStyle w:val="Podpistabeli1"/>
        <w:keepNext w:val="false"/>
        <w:keepLines w:val="false"/>
        <w:widowControl w:val="false"/>
        <w:shd w:val="clear" w:color="auto" w:fill="auto"/>
        <w:tabs>
          <w:tab w:val="clear" w:pos="720"/>
          <w:tab w:val="left" w:pos="1166" w:leader="none"/>
        </w:tabs>
        <w:bidi w:val="0"/>
        <w:spacing w:lineRule="auto" w:line="240" w:before="0" w:after="0"/>
        <w:ind w:hanging="0" w:left="451" w:right="0"/>
        <w:jc w:val="left"/>
        <w:rPr>
          <w:b/>
          <w:bCs/>
          <w:color w:val="000000"/>
        </w:rPr>
      </w:pPr>
      <w:r>
        <w:rPr>
          <w:rStyle w:val="Podpistabeli"/>
          <w:b/>
          <w:bCs/>
          <w:color w:val="000000"/>
        </w:rPr>
        <w:t>8.</w:t>
        <w:tab/>
        <w:t>Ocena formalna oferty uwzględnia następujące kryteria:</w:t>
      </w:r>
    </w:p>
    <w:tbl>
      <w:tblPr>
        <w:tblW w:w="90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25"/>
        <w:gridCol w:w="913"/>
        <w:gridCol w:w="1138"/>
      </w:tblGrid>
      <w:tr>
        <w:trPr>
          <w:trHeight w:val="821" w:hRule="exact"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OCENA FORMALNA</w:t>
            </w:r>
          </w:p>
        </w:tc>
      </w:tr>
      <w:tr>
        <w:trPr>
          <w:trHeight w:val="278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Lp.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Kryteria oceny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TAK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NIE</w:t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złożona w terminie podanym w ogłoszeniu konkursowym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2.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złożona na obowiązującym formularzu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3.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Czytelnie uzupełniono wszystkie wymagane pola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4.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złożona przez podmiot uprawniony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5.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Cele statutowe podmiotu są zgodne ze sferą zadań publicznych, w ramach której będzie realizowane zadanie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6.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podpisana przez osobę lub osoby uprawnione do reprezentacji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278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7.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Do oferty zostały załączone wymagane załączniki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8.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Kopie dokumentów są poświadczone przez osobę lub osoby uprawnione.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9.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Oferent zadeklarował wniesienie wkładu własnego finansowego na poziomie wymaganym w ogłoszeniu konkursowym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312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10.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Zadanie jest zgodne z ogłoszeniem konkursowym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52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11.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Termin realizacji zadania publicznego mieści się w ramach określonych w ogłoszeniu konkursowym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</w:tbl>
    <w:p>
      <w:pPr>
        <w:pStyle w:val="Normal"/>
        <w:widowControl w:val="false"/>
        <w:spacing w:lineRule="exact" w:line="1" w:before="0" w:after="299"/>
        <w:rPr>
          <w:color w:val="C9211E"/>
        </w:rPr>
      </w:pPr>
      <w:r>
        <w:rPr>
          <w:color w:val="C9211E"/>
        </w:rPr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UWAGA: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1180" w:leader="none"/>
        </w:tabs>
        <w:bidi w:val="0"/>
        <w:spacing w:before="0" w:after="0"/>
        <w:ind w:hanging="360" w:left="1180" w:right="0"/>
        <w:jc w:val="left"/>
        <w:rPr>
          <w:color w:val="000000"/>
        </w:rPr>
      </w:pPr>
      <w:r>
        <w:rPr>
          <w:rStyle w:val="Teksttreci"/>
          <w:color w:val="000000"/>
        </w:rPr>
        <w:t>Nie przewiduje się możliwości uzupełnienia oferty, która została złożona w stanie niekompletnym.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1180" w:leader="none"/>
        </w:tabs>
        <w:bidi w:val="0"/>
        <w:spacing w:before="0" w:after="300"/>
        <w:ind w:hanging="360" w:left="1180" w:right="0"/>
        <w:jc w:val="left"/>
        <w:rPr>
          <w:color w:val="000000"/>
        </w:rPr>
      </w:pPr>
      <w:r>
        <w:rPr>
          <w:rStyle w:val="Teksttreci"/>
          <w:color w:val="000000"/>
        </w:rPr>
        <w:t>W przypadku złożenia oferty wspólnej, błąd formalny występujący po stronie jednego z podmiotów powoduje, że oferta nie będzie podlegała dalszej ocenie.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1185" w:leader="none"/>
        </w:tabs>
        <w:bidi w:val="0"/>
        <w:spacing w:before="0" w:after="220"/>
        <w:ind w:firstLine="460" w:left="0" w:right="0"/>
        <w:jc w:val="left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Kryteria wyboru ofert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Komisja konkursowa rozpatruje oferty oddzielnie dla każdego zadania.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Oferty niespełniające wymogów formalnych nie podlegają dalszej ocenie.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Ocena merytoryczna oferty uwzględnia następujące kryteria:</w:t>
      </w:r>
    </w:p>
    <w:p>
      <w:pPr>
        <w:pStyle w:val="Teksttreci1"/>
        <w:widowControl w:val="false"/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color w:val="000000"/>
        </w:rPr>
      </w:r>
    </w:p>
    <w:p>
      <w:pPr>
        <w:pStyle w:val="Teksttreci1"/>
        <w:widowControl w:val="false"/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color w:val="000000"/>
        </w:rPr>
      </w:r>
    </w:p>
    <w:tbl>
      <w:tblPr>
        <w:tblW w:w="93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2"/>
        <w:gridCol w:w="1395"/>
      </w:tblGrid>
      <w:tr>
        <w:trPr>
          <w:trHeight w:val="302" w:hRule="exact"/>
        </w:trPr>
        <w:tc>
          <w:tcPr>
            <w:tcW w:w="9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OCENA MERYTORYCZNA</w:t>
            </w:r>
          </w:p>
        </w:tc>
      </w:tr>
      <w:tr>
        <w:trPr>
          <w:trHeight w:val="658" w:hRule="exact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Kryteria oceny merytorycznej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Liczba przyznanych</w:t>
            </w:r>
          </w:p>
        </w:tc>
      </w:tr>
    </w:tbl>
    <w:p>
      <w:pPr>
        <w:pStyle w:val="Normal"/>
        <w:spacing w:lineRule="exact" w:line="1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br w:type="page"/>
      </w:r>
    </w:p>
    <w:tbl>
      <w:tblPr>
        <w:tblW w:w="93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4"/>
        <w:gridCol w:w="1279"/>
      </w:tblGrid>
      <w:tr>
        <w:trPr>
          <w:trHeight w:val="658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22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punktów</w:t>
            </w:r>
          </w:p>
        </w:tc>
      </w:tr>
      <w:tr>
        <w:trPr>
          <w:trHeight w:val="2194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 Zawartość merytoryczna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566" w:leader="none"/>
              </w:tabs>
              <w:bidi w:val="0"/>
              <w:spacing w:lineRule="auto" w:line="240" w:before="0" w:after="0"/>
              <w:ind w:hanging="360" w:left="58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Staranność i szczegółowość opisu działań oraz rezultatów wynikających z realizacji zadania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633" w:leader="none"/>
              </w:tabs>
              <w:bidi w:val="0"/>
              <w:spacing w:lineRule="auto" w:line="240" w:before="0" w:after="0"/>
              <w:ind w:firstLine="2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Ilość uczestników zadania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566" w:leader="none"/>
              </w:tabs>
              <w:bidi w:val="0"/>
              <w:spacing w:lineRule="auto" w:line="240" w:before="0" w:after="0"/>
              <w:ind w:firstLine="2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Rzetelny i realny harmonogram działań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566" w:leader="none"/>
              </w:tabs>
              <w:bidi w:val="0"/>
              <w:spacing w:lineRule="auto" w:line="240" w:before="0" w:after="0"/>
              <w:ind w:firstLine="2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Kalkulacja kosztów w odniesieniu do zakresu rzeczowego zadania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40</w:t>
            </w:r>
          </w:p>
        </w:tc>
      </w:tr>
      <w:tr>
        <w:trPr>
          <w:trHeight w:val="1656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II Wkład rzeczowy i osobowy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8"/>
              </w:numPr>
              <w:shd w:val="clear" w:color="auto" w:fill="auto"/>
              <w:tabs>
                <w:tab w:val="clear" w:pos="720"/>
                <w:tab w:val="left" w:pos="346" w:leader="none"/>
              </w:tabs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Wkład rzeczowy (lokal, sprzęt, materiały) – </w:t>
            </w:r>
            <w:r>
              <w:rPr>
                <w:rStyle w:val="Inne"/>
                <w:b/>
                <w:bCs/>
                <w:color w:val="000000"/>
              </w:rPr>
              <w:t>0 - 10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8"/>
              </w:numPr>
              <w:shd w:val="clear" w:color="auto" w:fill="auto"/>
              <w:tabs>
                <w:tab w:val="clear" w:pos="720"/>
                <w:tab w:val="left" w:pos="346" w:leader="none"/>
              </w:tabs>
              <w:bidi w:val="0"/>
              <w:spacing w:lineRule="auto" w:line="240" w:before="0" w:after="0"/>
              <w:ind w:hanging="480" w:left="48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Wkład osobowy, w tym świadczenia wolontariuszy i praca społeczna członków – </w:t>
            </w:r>
            <w:r>
              <w:rPr>
                <w:rStyle w:val="Inne"/>
                <w:b/>
                <w:bCs/>
                <w:color w:val="000000"/>
              </w:rPr>
              <w:t>0 - 5 pkt.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15</w:t>
            </w:r>
          </w:p>
        </w:tc>
      </w:tr>
      <w:tr>
        <w:trPr>
          <w:trHeight w:val="1656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III Potencjał realizacyjny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9"/>
              </w:numPr>
              <w:shd w:val="clear" w:color="auto" w:fill="auto"/>
              <w:tabs>
                <w:tab w:val="clear" w:pos="720"/>
                <w:tab w:val="left" w:pos="667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Dotychczasowe doświadczenie w realizacji zadań podobnego rodzaju – </w:t>
            </w:r>
            <w:r>
              <w:rPr>
                <w:rStyle w:val="Inne"/>
                <w:b/>
                <w:bCs/>
                <w:color w:val="000000"/>
              </w:rPr>
              <w:t>0 - 3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9"/>
              </w:numPr>
              <w:shd w:val="clear" w:color="auto" w:fill="auto"/>
              <w:tabs>
                <w:tab w:val="clear" w:pos="720"/>
                <w:tab w:val="left" w:pos="677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Zaangażowanie w realizację zadania osób o niezbędnych kwalifikacjach – </w:t>
            </w:r>
            <w:r>
              <w:rPr>
                <w:rStyle w:val="Inne"/>
                <w:b/>
                <w:bCs/>
                <w:color w:val="000000"/>
              </w:rPr>
              <w:t>0 - 3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9"/>
              </w:numPr>
              <w:shd w:val="clear" w:color="auto" w:fill="auto"/>
              <w:tabs>
                <w:tab w:val="clear" w:pos="720"/>
                <w:tab w:val="left" w:pos="710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Atrakcyjność i oryginalność oferty – </w:t>
            </w:r>
            <w:r>
              <w:rPr>
                <w:rStyle w:val="Inne"/>
                <w:b/>
                <w:bCs/>
                <w:color w:val="000000"/>
              </w:rPr>
              <w:t>0 - 4 pkt.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10</w:t>
            </w:r>
          </w:p>
        </w:tc>
      </w:tr>
      <w:tr>
        <w:trPr>
          <w:trHeight w:val="4070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8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IV Udział środków finansowych własnych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65% ogółu kosztów – </w:t>
            </w:r>
            <w:r>
              <w:rPr>
                <w:rStyle w:val="Inne"/>
                <w:b/>
                <w:bCs/>
                <w:color w:val="000000"/>
              </w:rPr>
              <w:t>25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color="auto" w:fill="auto"/>
              <w:tabs>
                <w:tab w:val="clear" w:pos="720"/>
                <w:tab w:val="left" w:pos="773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>
                <w:color w:val="000000"/>
              </w:rPr>
            </w:pPr>
            <w:r>
              <w:rPr>
                <w:rStyle w:val="Inne"/>
                <w:color w:val="000000"/>
              </w:rPr>
              <w:t>Finansowe środki własne powyżej 55% ogółu</w:t>
            </w:r>
          </w:p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7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kosztów – </w:t>
            </w:r>
            <w:r>
              <w:rPr>
                <w:rStyle w:val="Inne"/>
                <w:b/>
                <w:bCs/>
                <w:color w:val="000000"/>
              </w:rPr>
              <w:t>22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45% ogółu kosztów – </w:t>
            </w:r>
            <w:r>
              <w:rPr>
                <w:rStyle w:val="Inne"/>
                <w:b/>
                <w:bCs/>
                <w:color w:val="000000"/>
              </w:rPr>
              <w:t>19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color="auto" w:fill="auto"/>
              <w:tabs>
                <w:tab w:val="clear" w:pos="720"/>
                <w:tab w:val="left" w:pos="778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>
                <w:color w:val="000000"/>
              </w:rPr>
            </w:pPr>
            <w:r>
              <w:rPr>
                <w:rStyle w:val="Inne"/>
                <w:color w:val="000000"/>
              </w:rPr>
              <w:t>Finansowe środki własne powyżej 35% ogółu</w:t>
            </w:r>
          </w:p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7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kosztów – </w:t>
            </w:r>
            <w:r>
              <w:rPr>
                <w:rStyle w:val="Inne"/>
                <w:b/>
                <w:bCs/>
                <w:color w:val="000000"/>
              </w:rPr>
              <w:t>16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25% ogółu kosztów – </w:t>
            </w:r>
            <w:r>
              <w:rPr>
                <w:rStyle w:val="Inne"/>
                <w:b/>
                <w:bCs/>
                <w:color w:val="000000"/>
              </w:rPr>
              <w:t>13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i równe 15% ogółu kosztów – </w:t>
            </w:r>
            <w:r>
              <w:rPr>
                <w:rStyle w:val="Inne"/>
                <w:b/>
                <w:bCs/>
                <w:color w:val="000000"/>
              </w:rPr>
              <w:t>10 pkt</w:t>
            </w:r>
            <w:r>
              <w:rPr>
                <w:rStyle w:val="Inne"/>
                <w:color w:val="00000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25</w:t>
            </w:r>
          </w:p>
        </w:tc>
      </w:tr>
      <w:tr>
        <w:trPr>
          <w:trHeight w:val="1920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8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V Pobieranie/niepobieranie opłat od adresatów zadania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1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Pobieranie opłat, które przekraczają 5% kosztów całości zadania – </w:t>
            </w:r>
            <w:r>
              <w:rPr>
                <w:rStyle w:val="Inne"/>
                <w:b/>
                <w:bCs/>
                <w:color w:val="000000"/>
              </w:rPr>
              <w:t>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1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Pobieranie opłat symbolicznych, które nie przekraczają 5% kosztów całości zadania – </w:t>
            </w:r>
            <w:r>
              <w:rPr>
                <w:rStyle w:val="Inne"/>
                <w:b/>
                <w:bCs/>
                <w:color w:val="000000"/>
              </w:rPr>
              <w:t>3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1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Niepobieranie opłat – </w:t>
            </w:r>
            <w:r>
              <w:rPr>
                <w:rStyle w:val="Inne"/>
                <w:b/>
                <w:bCs/>
                <w:color w:val="000000"/>
              </w:rPr>
              <w:t>5 pkt</w:t>
            </w:r>
            <w:r>
              <w:rPr>
                <w:rStyle w:val="Inne"/>
                <w:color w:val="00000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5</w:t>
            </w:r>
          </w:p>
        </w:tc>
      </w:tr>
      <w:tr>
        <w:trPr>
          <w:trHeight w:val="1666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VI Ocena realizacji zadań zleconych w latach poprzednich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2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Rzetelność – </w:t>
            </w:r>
            <w:r>
              <w:rPr>
                <w:rStyle w:val="Inne"/>
                <w:b/>
                <w:bCs/>
                <w:color w:val="000000"/>
              </w:rPr>
              <w:t>0 -5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2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Terminowość – </w:t>
            </w:r>
            <w:r>
              <w:rPr>
                <w:rStyle w:val="Inne"/>
                <w:b/>
                <w:bCs/>
                <w:color w:val="000000"/>
              </w:rPr>
              <w:t>0 – 5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22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Sposób rozliczenia otrzymanych środków finansowych – </w:t>
            </w:r>
            <w:r>
              <w:rPr>
                <w:rStyle w:val="Inne"/>
                <w:b/>
                <w:bCs/>
                <w:color w:val="000000"/>
              </w:rPr>
              <w:t>0 -5 pkt</w:t>
            </w:r>
            <w:r>
              <w:rPr>
                <w:rStyle w:val="Inne"/>
                <w:color w:val="00000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15</w:t>
            </w:r>
          </w:p>
        </w:tc>
      </w:tr>
    </w:tbl>
    <w:p>
      <w:pPr>
        <w:pStyle w:val="Normal"/>
        <w:widowControl w:val="false"/>
        <w:spacing w:lineRule="exact" w:line="1" w:before="0" w:after="299"/>
        <w:rPr>
          <w:color w:val="C9211E"/>
        </w:rPr>
      </w:pPr>
      <w:r>
        <w:rPr>
          <w:color w:val="C9211E"/>
        </w:rPr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380" w:left="380" w:right="0"/>
        <w:jc w:val="left"/>
        <w:rPr>
          <w:color w:val="000000"/>
        </w:rPr>
      </w:pPr>
      <w:r>
        <w:rPr>
          <w:rStyle w:val="Teksttreci"/>
          <w:color w:val="000000"/>
        </w:rPr>
        <w:t>Uzyskanie mniej niż 50% możliwych do uzyskania punktów nie kwalifikuje oferty do dalszego rozpatrzenia.</w:t>
      </w:r>
    </w:p>
    <w:p>
      <w:pPr>
        <w:pStyle w:val="Nagwek11"/>
        <w:keepNext w:val="true"/>
        <w:keepLines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400" w:leader="none"/>
        </w:tabs>
        <w:bidi w:val="0"/>
        <w:spacing w:before="0" w:after="0"/>
        <w:ind w:hanging="0" w:left="380" w:right="0"/>
        <w:jc w:val="both"/>
        <w:rPr>
          <w:b/>
          <w:bCs/>
          <w:color w:val="000000"/>
        </w:rPr>
      </w:pPr>
      <w:r>
        <w:rPr>
          <w:rStyle w:val="Nagwek1"/>
          <w:b/>
          <w:bCs/>
          <w:color w:val="000000"/>
        </w:rPr>
        <w:t xml:space="preserve">10. </w:t>
      </w:r>
      <w:bookmarkStart w:id="13" w:name="bookmark14"/>
      <w:r>
        <w:rPr>
          <w:rStyle w:val="Nagwek1"/>
          <w:b/>
          <w:bCs/>
          <w:color w:val="000000"/>
        </w:rPr>
        <w:t>Informacja o wysokości kosztów związanych z realizacją zadań publicznych w 2025 r.</w:t>
      </w:r>
      <w:bookmarkEnd w:id="13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30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Dotacje przekazane przez Gminę Miejską Kamienna Góra na realizację zadań publicznych z obszaru kultury fizycznej w roku 2025: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Kamiennogórski Klub Tenisowy na realizację zadania publicznego: Upowszechnianie i promocja kultury fizycznej w różnych dyscyplinach sportowych. 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14 000 zł;</w:t>
      </w:r>
    </w:p>
    <w:p>
      <w:pPr>
        <w:pStyle w:val="Teksttreci1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406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Stowarzyszenie KAMDŻA na realizację zadania publicznego:  </w:t>
      </w:r>
      <w:r>
        <w:rPr>
          <w:rStyle w:val="Teksttreci"/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>Nauka korzystania z parków rowerowych, szkolenie w zakresie przygotowania do jazdy Mtb Rower Górski. Teoria, praktyka, przy użyciu ochraniaczy, sprzętu zwiększającego bezpieczeństwo.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10 000 zł;</w:t>
      </w:r>
    </w:p>
    <w:p>
      <w:pPr>
        <w:pStyle w:val="Teksttreci1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406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Stowarzyszenie KAMDŻA na realizację zadania publicznego:  </w:t>
      </w:r>
      <w:r>
        <w:rPr>
          <w:rStyle w:val="Teksttreci"/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>Nauka wspinaczki z asekuracją i wyposażeniem Kamdża Bike Park. Nauka wspinaczki dla dzieci i młodzieży siłownia Kamdża.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23 000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40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Klub Sportowy SUDETY na realizację zadania publicznego: Szkolenie i organizacja zawodów w piłce siatkowej dzieci i młodzieży z Gminy Miejskiej Kamienna Góra. 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30 000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40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Klub Sportowy SUDETY na realizację zadania publicznego: </w:t>
      </w:r>
      <w:r>
        <w:rPr>
          <w:rStyle w:val="Teksttreci"/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>Z pasji do siatkówki.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8 000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8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Stowarzyszenie PODAJ RĘKĘ na realizację zadania publicznego: Dążymy do mistrzostwa. Przyznana kwota dotacji: 4 700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Olimpiady Specjalne Polska Oddział Kamienna Góra na realizację zadania publicznego: XXIV Dolnośląski Mityng Lekkoatletyczny Olimpiad Specjalnych. 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5 800 zł;</w:t>
      </w:r>
    </w:p>
    <w:p>
      <w:pPr>
        <w:pStyle w:val="Teksttreci1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 xml:space="preserve">Powiatowe Zrzeszenie LZS Aleja Wojska Polskiego 58-400 Kamienna Góra 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na realizację zadania publicznego: </w:t>
      </w:r>
      <w:r>
        <w:rPr>
          <w:rStyle w:val="Teksttreci"/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>Organizacja turniejów o Mistrzostwo Powiatu w szachach i warcabach stupolowych oraz wyjazdów dzieci i młodzieży z Kamiennej Góry na szachowe i warcabowe Dolnośląskie Turnieje Finałowe.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4 500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8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Kamiennogórski Klub Sportowy OYAMA na realizację zadania publicznego:</w:t>
      </w:r>
      <w:r>
        <w:rPr>
          <w:rStyle w:val="Teksttreci"/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l-PL" w:eastAsia="pl-PL"/>
        </w:rPr>
        <w:t xml:space="preserve">Aktywizacja </w:t>
      </w:r>
      <w:r>
        <w:rPr>
          <w:rStyle w:val="Teksttreci"/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>Dzieci i młodzieży z Gminy Miejskiej Kamienna Góra do udziału w procesie Kultury Fizycznej i Sportu 2025 r.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26 000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Klub Sportowy CONTENDER na realizację zadania publicznego: „Wakacje z CONTENDER JUNIOR”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10 000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Klub Sportowy CONTENDER na realizację zadania publicznego:Szkolenie oraz udział w zawodach sportowych mieszkańców Gminy Miejskiej Kamienna Góra w zakresie sportów walki.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45 000 zł;</w:t>
      </w:r>
    </w:p>
    <w:p>
      <w:pPr>
        <w:pStyle w:val="Teksttreci1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Kamiennogórski Klub Sportowy OLIMPIA na realizacje zadania publicznego: Organizacja zajęć sportowych oraz rozgrywek ligowych w ramach struktur OZPN dla młodzieży i dorosłych pod hasłem „Łączy Nas Piłka”.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47 500 zł;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1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Kamiennogórska Akademia Piłkarska na realizację zadania publicznego: Organizacja zajęć sportowych piłki nożnej oraz turniejów, w tym rozgrywek ligowych w ramach struktur OZPN dla dzieci i młodzieży w wieku od 3 do 15 Lat.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26 500 zł;</w:t>
      </w:r>
    </w:p>
    <w:p>
      <w:pPr>
        <w:pStyle w:val="Teksttreci1"/>
        <w:widowControl w:val="false"/>
        <w:numPr>
          <w:ilvl w:val="0"/>
          <w:numId w:val="23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Klub Sportowy - Miejski Ośrodek Sportowy Siłowych i Tężyzny Fizycznej „RELAX” na realizację zadania publicznego:Zdrowe nawyki to sportowe wyniki.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Przyznana kwota dotacji: 45 000 zł.</w:t>
      </w:r>
    </w:p>
    <w:p>
      <w:pPr>
        <w:pStyle w:val="Teksttreci1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296" w:leader="none"/>
        </w:tabs>
        <w:bidi w:val="0"/>
        <w:spacing w:lineRule="auto" w:line="360" w:before="0" w:after="0"/>
        <w:ind w:hanging="0" w:left="0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agwek11"/>
        <w:keepNext w:val="true"/>
        <w:keepLines/>
        <w:widowControl w:val="false"/>
        <w:numPr>
          <w:ilvl w:val="0"/>
          <w:numId w:val="24"/>
        </w:numPr>
        <w:shd w:val="clear" w:color="auto" w:fill="auto"/>
        <w:tabs>
          <w:tab w:val="clear" w:pos="720"/>
          <w:tab w:val="left" w:pos="1100" w:leader="none"/>
        </w:tabs>
        <w:bidi w:val="0"/>
        <w:spacing w:lineRule="auto" w:line="276" w:before="0" w:after="300"/>
        <w:ind w:firstLine="380" w:left="0" w:right="0"/>
        <w:jc w:val="both"/>
        <w:rPr/>
      </w:pPr>
      <w:bookmarkStart w:id="14" w:name="bookmark16"/>
      <w:r>
        <w:rPr>
          <w:rStyle w:val="Nagwek1"/>
          <w:b/>
          <w:bCs/>
          <w:color w:val="000000"/>
        </w:rPr>
        <w:t>Postanowienia końcowe</w:t>
      </w:r>
      <w:bookmarkEnd w:id="14"/>
    </w:p>
    <w:p>
      <w:pPr>
        <w:pStyle w:val="Teksttreci1"/>
        <w:keepNext w:val="false"/>
        <w:keepLines w:val="false"/>
        <w:widowControl w:val="false"/>
        <w:numPr>
          <w:ilvl w:val="0"/>
          <w:numId w:val="25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Szczegółowe i ostateczne warunki realizacji, finansowania i rozliczania zadania reguluje umowa pomiędzy Gminą Miejską Kamienna Góra a wnioskodawcą.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5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 xml:space="preserve"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</w:t>
      </w:r>
      <w:r>
        <w:rPr>
          <w:rStyle w:val="Teksttreci"/>
          <w:b/>
          <w:bCs/>
          <w:color w:val="000000"/>
        </w:rPr>
        <w:t>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Teksttreci1"/>
        <w:widowControl w:val="false"/>
        <w:numPr>
          <w:ilvl w:val="0"/>
          <w:numId w:val="25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W przypadku realizacji zadania z udziałem małoletnich wyłoniony oferent zobowiązany jest do stosowania ustawy z dnia 13 maja 2016 r. o przeciwdziałaniu zagrożeniom przestępczością na tle seksualnym i ochronie małoletnich. (t.j. Dz. U. Z 2024 r., poz. 1802 z późn. zm.).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5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W przypadku rezygnacji podmiotu lub odmowy podpisania umowy, zarezerwowane środki finansowe mogą być przeznaczone na ogłoszenie nowego konkursu lub na realizację zadania w innej formie.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5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Podstawą roszczeń finansowych w stosunku do Gminy Miejskiej Kamienna Góra może być wyłącznie zawarta umowa.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5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Wydział Zarządzania Kryzysowego i Polityki Społecznej Urzędu Miasta Kamienna Góra, Plac Grunwaldzki 1, pok. 312,  tel. 75 645 51 36 lub 75 645 51 26.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>Zastępca Burmistrza Miasta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                     </w:t>
      </w:r>
      <w:r>
        <w:rPr/>
        <w:t>Kamienna Góra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                       </w:t>
      </w:r>
      <w:r>
        <w:rPr/>
        <w:t>/-/ Paweł Fryc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252" w:right="1169" w:gutter="0" w:header="0" w:top="610" w:footer="3" w:bottom="127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18">
              <wp:simplePos x="0" y="0"/>
              <wp:positionH relativeFrom="page">
                <wp:posOffset>6625590</wp:posOffset>
              </wp:positionH>
              <wp:positionV relativeFrom="page">
                <wp:posOffset>9952990</wp:posOffset>
              </wp:positionV>
              <wp:extent cx="52070" cy="169545"/>
              <wp:effectExtent l="0" t="635" r="0" b="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hanging="0" w:left="0" w:right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rFonts w:eastAsia="Calibri" w:cs="Calibri" w:ascii="Calibri" w:hAnsi="Calibri"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521.7pt;margin-top:783.7pt;width:4.05pt;height:13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hanging="0" w:left="0" w:right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rFonts w:eastAsia="Calibri" w:cs="Calibri" w:ascii="Calibri" w:hAnsi="Calibri"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t>9</w: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18">
              <wp:simplePos x="0" y="0"/>
              <wp:positionH relativeFrom="page">
                <wp:posOffset>6625590</wp:posOffset>
              </wp:positionH>
              <wp:positionV relativeFrom="page">
                <wp:posOffset>9952990</wp:posOffset>
              </wp:positionV>
              <wp:extent cx="52070" cy="169545"/>
              <wp:effectExtent l="0" t="635" r="0" b="0"/>
              <wp:wrapNone/>
              <wp:docPr id="2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hanging="0" w:left="0" w:right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rFonts w:eastAsia="Calibri" w:cs="Calibri" w:ascii="Calibri" w:hAnsi="Calibri"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521.7pt;margin-top:783.7pt;width:4.05pt;height:13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hanging="0" w:left="0" w:right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rFonts w:eastAsia="Calibri" w:cs="Calibri" w:ascii="Calibri" w:hAnsi="Calibri"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t>9</w: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hd w:fill="auto" w:val="clear"/>
        <w:szCs w:val="22"/>
        <w:iCs w:val="false"/>
        <w:bCs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Calibri" w:hAnsi="Calibri" w:cs="Calibri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Calibri" w:hAnsi="Calibri" w:cs="Calibri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hd w:fill="auto" w:val="clear"/>
        <w:szCs w:val="22"/>
        <w:iCs w:val="false"/>
        <w:bCs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9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hd w:fill="auto" w:val="clear"/>
        <w:szCs w:val="22"/>
        <w:iCs w:val="false"/>
        <w:bCs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hd w:fill="auto" w:val="clear"/>
        <w:szCs w:val="22"/>
        <w:iCs w:val="false"/>
        <w:bCs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Teksttreci" w:customStyle="1">
    <w:name w:val="Tekst treści_"/>
    <w:basedOn w:val="DefaultParagraphFont"/>
    <w:link w:val="Teksttreci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lubstopka2" w:customStyle="1">
    <w:name w:val="Nagłówek lub stopka (2)_"/>
    <w:basedOn w:val="DefaultParagraphFont"/>
    <w:link w:val="Nagweklubstopka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Nagwek1" w:customStyle="1">
    <w:name w:val="Nagłówek #1_"/>
    <w:basedOn w:val="DefaultParagraphFont"/>
    <w:link w:val="Nagwek11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Podpistabeli" w:customStyle="1">
    <w:name w:val="Podpis tabeli_"/>
    <w:basedOn w:val="DefaultParagraphFont"/>
    <w:link w:val="Podpistabeli1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Inne" w:customStyle="1">
    <w:name w:val="Inne_"/>
    <w:basedOn w:val="DefaultParagraphFont"/>
    <w:link w:val="Inne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eksttreci1" w:customStyle="1">
    <w:name w:val="Tekst treści"/>
    <w:basedOn w:val="Normal"/>
    <w:link w:val="Teksttreci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lubstopka21" w:customStyle="1">
    <w:name w:val="Nagłówek lub stopka (2)"/>
    <w:basedOn w:val="Normal"/>
    <w:link w:val="Nagweklubstopka2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Nagwek11" w:customStyle="1">
    <w:name w:val="Nagłówek #1"/>
    <w:basedOn w:val="Normal"/>
    <w:link w:val="Nagwek1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Podpistabeli1" w:customStyle="1">
    <w:name w:val="Podpis tabeli"/>
    <w:basedOn w:val="Normal"/>
    <w:link w:val="Podpistabeli"/>
    <w:qFormat/>
    <w:pPr>
      <w:widowControl w:val="false"/>
      <w:shd w:val="clear" w:color="auto" w:fill="auto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Inne1" w:customStyle="1">
    <w:name w:val="Inne"/>
    <w:basedOn w:val="Normal"/>
    <w:link w:val="Inne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LibreOffice/25.2.7.2$Windows_X86_64 LibreOffice_project/5cbfd1ab6520636bb5f7b99185aa69bd7456825d</Application>
  <AppVersion>15.0000</AppVersion>
  <Pages>9</Pages>
  <Words>2597</Words>
  <Characters>16045</Characters>
  <CharactersWithSpaces>18431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dc:description/>
  <dc:language>pl-PL</dc:language>
  <cp:lastModifiedBy/>
  <cp:lastPrinted>2025-01-17T08:54:01Z</cp:lastPrinted>
  <dcterms:modified xsi:type="dcterms:W3CDTF">2026-01-26T10:09:31Z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